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F" w:rsidRP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</w:p>
    <w:p w:rsidR="0033298F" w:rsidRP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  <w:r w:rsidRPr="0033298F">
        <w:rPr>
          <w:rFonts w:ascii="GHEA Grapalat" w:hAnsi="GHEA Grapalat"/>
          <w:sz w:val="24"/>
          <w:lang w:val="hy-AM"/>
        </w:rPr>
        <w:t>ՀԱՎԵԼՎԱԾ</w:t>
      </w:r>
    </w:p>
    <w:p w:rsidR="0033298F" w:rsidRP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  <w:r w:rsidRPr="0033298F">
        <w:rPr>
          <w:rFonts w:ascii="GHEA Grapalat" w:hAnsi="GHEA Grapalat"/>
          <w:sz w:val="24"/>
          <w:lang w:val="hy-AM"/>
        </w:rPr>
        <w:t>ԱՐՄԱՎԻՐ ՀԱՄԱՅՆՔԻ ԱՎԱԳԱՆՈՒ</w:t>
      </w:r>
    </w:p>
    <w:p w:rsid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  <w:r w:rsidRPr="0033298F">
        <w:rPr>
          <w:rFonts w:ascii="GHEA Grapalat" w:hAnsi="GHEA Grapalat"/>
          <w:sz w:val="24"/>
          <w:lang w:val="hy-AM"/>
        </w:rPr>
        <w:t>2024 ԹՎԱԿԱՆԻ ՓԵՏՐՎԱՐԻ 23-Ի</w:t>
      </w:r>
    </w:p>
    <w:p w:rsidR="0033298F" w:rsidRP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04 ՀԵՐԹԱԿԱՆ ՆԻՍՏԻ</w:t>
      </w:r>
    </w:p>
    <w:p w:rsidR="0033298F" w:rsidRPr="0033298F" w:rsidRDefault="0033298F" w:rsidP="0033298F">
      <w:pPr>
        <w:spacing w:after="0" w:line="20" w:lineRule="atLeast"/>
        <w:jc w:val="right"/>
        <w:rPr>
          <w:rFonts w:ascii="GHEA Grapalat" w:hAnsi="GHEA Grapalat"/>
          <w:sz w:val="24"/>
          <w:lang w:val="hy-AM"/>
        </w:rPr>
      </w:pPr>
      <w:r w:rsidRPr="0033298F">
        <w:rPr>
          <w:rFonts w:ascii="GHEA Grapalat" w:hAnsi="GHEA Grapalat"/>
          <w:sz w:val="24"/>
          <w:lang w:val="hy-AM"/>
        </w:rPr>
        <w:t>ԹԻՎ 028-Ա ՈՐՈՇՄԱՆ</w:t>
      </w:r>
    </w:p>
    <w:p w:rsidR="0033298F" w:rsidRDefault="0033298F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D21361" w:rsidRPr="0033298F" w:rsidRDefault="00D21361" w:rsidP="00D21361">
      <w:pPr>
        <w:spacing w:after="0" w:line="20" w:lineRule="atLeast"/>
        <w:jc w:val="center"/>
        <w:rPr>
          <w:rFonts w:ascii="GHEA Grapalat" w:hAnsi="GHEA Grapalat"/>
          <w:lang w:val="ru-RU"/>
        </w:rPr>
      </w:pPr>
      <w:r w:rsidRPr="0033298F">
        <w:rPr>
          <w:rFonts w:ascii="GHEA Grapalat" w:hAnsi="GHEA Grapalat"/>
          <w:noProof/>
          <w:lang w:val="ru-RU" w:eastAsia="ru-RU"/>
        </w:rPr>
        <w:drawing>
          <wp:inline distT="0" distB="0" distL="0" distR="0" wp14:anchorId="39E9BBEA" wp14:editId="56DACE75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33298F" w:rsidRDefault="00D21361" w:rsidP="00D21361">
      <w:pPr>
        <w:spacing w:after="0" w:line="20" w:lineRule="atLeast"/>
        <w:ind w:left="567"/>
        <w:jc w:val="center"/>
        <w:rPr>
          <w:rFonts w:ascii="GHEA Grapalat" w:hAnsi="GHEA Grapalat"/>
          <w:b/>
          <w:bCs/>
          <w:sz w:val="32"/>
          <w:szCs w:val="32"/>
          <w:lang w:val="ru-RU"/>
        </w:rPr>
      </w:pPr>
      <w:r w:rsidRPr="0033298F">
        <w:rPr>
          <w:rFonts w:ascii="GHEA Grapalat" w:hAnsi="GHEA Grapalat"/>
          <w:b/>
          <w:bCs/>
          <w:sz w:val="32"/>
          <w:szCs w:val="32"/>
          <w:lang w:val="ru-RU"/>
        </w:rPr>
        <w:t xml:space="preserve">ՀԱՅԱՍՏԱՆԻ ՀԱՆՐԱՊԵՏՈՒԹՅՈՒՆ </w:t>
      </w:r>
      <w:r w:rsidRPr="0033298F">
        <w:rPr>
          <w:rFonts w:ascii="GHEA Grapalat" w:hAnsi="GHEA Grapalat"/>
          <w:b/>
          <w:bCs/>
          <w:sz w:val="32"/>
          <w:szCs w:val="32"/>
        </w:rPr>
        <w:t>ԱՐՄԱՎԻՐԻ</w:t>
      </w:r>
      <w:r w:rsidRPr="0033298F">
        <w:rPr>
          <w:rFonts w:ascii="GHEA Grapalat" w:hAnsi="GHEA Grapalat"/>
          <w:b/>
          <w:bCs/>
          <w:sz w:val="32"/>
          <w:szCs w:val="32"/>
          <w:lang w:val="ru-RU"/>
        </w:rPr>
        <w:t xml:space="preserve"> </w:t>
      </w:r>
      <w:r w:rsidRPr="0033298F">
        <w:rPr>
          <w:rFonts w:ascii="GHEA Grapalat" w:hAnsi="GHEA Grapalat"/>
          <w:b/>
          <w:bCs/>
          <w:sz w:val="32"/>
          <w:szCs w:val="32"/>
        </w:rPr>
        <w:t>ՄԱՐԶ</w:t>
      </w:r>
      <w:r w:rsidRPr="0033298F">
        <w:rPr>
          <w:rFonts w:ascii="GHEA Grapalat" w:hAnsi="GHEA Grapalat"/>
          <w:b/>
          <w:bCs/>
          <w:sz w:val="32"/>
          <w:szCs w:val="32"/>
          <w:lang w:val="ru-RU"/>
        </w:rPr>
        <w:t xml:space="preserve">  </w:t>
      </w:r>
    </w:p>
    <w:p w:rsidR="00D21361" w:rsidRPr="0033298F" w:rsidRDefault="00D21361" w:rsidP="00D21361">
      <w:pPr>
        <w:spacing w:after="0" w:line="20" w:lineRule="atLeast"/>
        <w:ind w:left="567"/>
        <w:jc w:val="center"/>
        <w:rPr>
          <w:rFonts w:ascii="GHEA Grapalat" w:hAnsi="GHEA Grapalat"/>
          <w:b/>
          <w:bCs/>
          <w:sz w:val="32"/>
          <w:szCs w:val="32"/>
          <w:lang w:val="ru-RU"/>
        </w:rPr>
      </w:pPr>
      <w:r w:rsidRPr="0033298F">
        <w:rPr>
          <w:rFonts w:ascii="GHEA Grapalat" w:hAnsi="GHEA Grapalat"/>
          <w:b/>
          <w:bCs/>
          <w:sz w:val="32"/>
          <w:szCs w:val="32"/>
        </w:rPr>
        <w:t>ԱՐՄԱՎԻՐ</w:t>
      </w:r>
      <w:r w:rsidRPr="0033298F">
        <w:rPr>
          <w:rFonts w:ascii="GHEA Grapalat" w:hAnsi="GHEA Grapalat"/>
          <w:b/>
          <w:bCs/>
          <w:sz w:val="32"/>
          <w:szCs w:val="32"/>
          <w:lang w:val="ru-RU"/>
        </w:rPr>
        <w:t xml:space="preserve"> </w:t>
      </w:r>
      <w:r w:rsidRPr="0033298F">
        <w:rPr>
          <w:rFonts w:ascii="GHEA Grapalat" w:hAnsi="GHEA Grapalat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13" w:rsidRPr="0033298F" w:rsidRDefault="00145213" w:rsidP="0033298F">
      <w:pPr>
        <w:spacing w:after="0" w:line="20" w:lineRule="atLeast"/>
        <w:rPr>
          <w:rFonts w:ascii="Sylfaen" w:hAnsi="Sylfaen" w:cs="Sylfaen"/>
          <w:b/>
          <w:sz w:val="48"/>
          <w:szCs w:val="48"/>
          <w:lang w:val="hy-AM"/>
        </w:rPr>
      </w:pPr>
    </w:p>
    <w:p w:rsidR="00D21361" w:rsidRPr="0033298F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44"/>
          <w:szCs w:val="48"/>
          <w:lang w:val="ru-RU"/>
        </w:rPr>
      </w:pPr>
      <w:r w:rsidRPr="0033298F">
        <w:rPr>
          <w:rFonts w:ascii="GHEA Grapalat" w:hAnsi="GHEA Grapalat" w:cs="Sylfaen"/>
          <w:b/>
          <w:sz w:val="44"/>
          <w:szCs w:val="48"/>
        </w:rPr>
        <w:t>ՀԱՄԱՅՆՔԻ</w:t>
      </w:r>
      <w:r w:rsidRPr="0033298F">
        <w:rPr>
          <w:rFonts w:ascii="GHEA Grapalat" w:hAnsi="GHEA Grapalat" w:cs="Sylfaen"/>
          <w:b/>
          <w:sz w:val="44"/>
          <w:szCs w:val="48"/>
          <w:lang w:val="ru-RU"/>
        </w:rPr>
        <w:t xml:space="preserve"> </w:t>
      </w:r>
      <w:proofErr w:type="gramStart"/>
      <w:r w:rsidRPr="0033298F">
        <w:rPr>
          <w:rFonts w:ascii="GHEA Grapalat" w:hAnsi="GHEA Grapalat" w:cs="Sylfaen"/>
          <w:b/>
          <w:sz w:val="44"/>
          <w:szCs w:val="48"/>
          <w:lang w:val="ru-RU"/>
        </w:rPr>
        <w:t>202</w:t>
      </w:r>
      <w:r w:rsidR="00B70282" w:rsidRPr="0033298F">
        <w:rPr>
          <w:rFonts w:ascii="GHEA Grapalat" w:hAnsi="GHEA Grapalat" w:cs="Sylfaen"/>
          <w:b/>
          <w:sz w:val="44"/>
          <w:szCs w:val="48"/>
          <w:lang w:val="hy-AM"/>
        </w:rPr>
        <w:t>3</w:t>
      </w:r>
      <w:r w:rsidRPr="0033298F">
        <w:rPr>
          <w:rFonts w:ascii="GHEA Grapalat" w:hAnsi="GHEA Grapalat" w:cs="Sylfaen"/>
          <w:b/>
          <w:sz w:val="44"/>
          <w:szCs w:val="48"/>
          <w:lang w:val="ru-RU"/>
        </w:rPr>
        <w:t xml:space="preserve">  </w:t>
      </w:r>
      <w:r w:rsidRPr="0033298F">
        <w:rPr>
          <w:rFonts w:ascii="GHEA Grapalat" w:hAnsi="GHEA Grapalat" w:cs="Sylfaen"/>
          <w:b/>
          <w:sz w:val="44"/>
          <w:szCs w:val="48"/>
        </w:rPr>
        <w:t>ԹՎԱԿԱՆԻ</w:t>
      </w:r>
      <w:proofErr w:type="gramEnd"/>
    </w:p>
    <w:p w:rsidR="00D21361" w:rsidRPr="0033298F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44"/>
          <w:szCs w:val="48"/>
          <w:lang w:val="ru-RU"/>
        </w:rPr>
      </w:pPr>
      <w:r w:rsidRPr="0033298F">
        <w:rPr>
          <w:rFonts w:ascii="GHEA Grapalat" w:hAnsi="GHEA Grapalat" w:cs="Sylfaen"/>
          <w:b/>
          <w:sz w:val="44"/>
          <w:szCs w:val="48"/>
          <w:lang w:val="hy-AM"/>
        </w:rPr>
        <w:t>ՏԱՐԵԿԱՆ ԱՇԽԱՏԱՆՔԱՅԻՆ ՊԼԱՆ</w:t>
      </w:r>
      <w:r w:rsidR="0075350F" w:rsidRPr="0033298F">
        <w:rPr>
          <w:rFonts w:ascii="GHEA Grapalat" w:hAnsi="GHEA Grapalat" w:cs="Sylfaen"/>
          <w:b/>
          <w:sz w:val="44"/>
          <w:szCs w:val="48"/>
          <w:lang w:val="hy-AM"/>
        </w:rPr>
        <w:t>Ի ՄՈՆԻԹՈՐԻՆԳ</w:t>
      </w:r>
      <w:r w:rsidR="00752949" w:rsidRPr="0033298F">
        <w:rPr>
          <w:rFonts w:ascii="GHEA Grapalat" w:hAnsi="GHEA Grapalat" w:cs="Sylfaen"/>
          <w:b/>
          <w:sz w:val="44"/>
          <w:szCs w:val="48"/>
          <w:lang w:val="hy-AM"/>
        </w:rPr>
        <w:t>Ի ԵՎ ԳՆԱՀԱՏՄԱՆ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D21361" w:rsidRDefault="003661A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6478621" cy="4319080"/>
            <wp:effectExtent l="0" t="0" r="0" b="0"/>
            <wp:docPr id="5" name="Рисунок 4" descr="hq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105" cy="431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B25498" w:rsidRPr="00F52BDE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:rsidR="00755901" w:rsidRPr="00C94ED8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755901" w:rsidRPr="0033298F" w:rsidRDefault="00755901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3298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Համայնքի ոլորտային նպատակները </w:t>
      </w:r>
    </w:p>
    <w:p w:rsidR="00755901" w:rsidRPr="0033298F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755901" w:rsidRPr="0033298F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755901" w:rsidRPr="0033298F" w:rsidRDefault="0075590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755901" w:rsidRPr="0033298F" w:rsidRDefault="0075590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Վերջնական արդյունքի ցուցանիշ %</w:t>
            </w:r>
            <w:r w:rsidR="0077568C"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 w:rsidRPr="003329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 w:rsidRPr="003329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33298F" w:rsidTr="00E31F3F">
        <w:trPr>
          <w:trHeight w:val="288"/>
        </w:trPr>
        <w:tc>
          <w:tcPr>
            <w:tcW w:w="5954" w:type="dxa"/>
            <w:shd w:val="clear" w:color="auto" w:fill="FFFFFF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●Ապահովել տեղական ինքնակառավարման իրականացումը </w:t>
            </w:r>
            <w:proofErr w:type="spellStart"/>
            <w:r w:rsidRPr="0033298F">
              <w:rPr>
                <w:rFonts w:ascii="GHEA Grapalat" w:hAnsi="GHEA Grapalat"/>
                <w:sz w:val="20"/>
                <w:szCs w:val="20"/>
              </w:rPr>
              <w:t>Արմավիր</w:t>
            </w:r>
            <w:proofErr w:type="spellEnd"/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համակարգ։ ●Ստեղծել բարեկարգ ու զարգացած ենթակառուցվածքներով համայնք բնակիչների համար։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33298F" w:rsidRDefault="00834B37" w:rsidP="00834B37">
            <w:pPr>
              <w:pStyle w:val="a9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98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.Շրջակա միջավայրի պա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●Ապահովել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  <w:r w:rsidR="00C86409" w:rsidRPr="0033298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834B37" w:rsidP="00C8640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9</w:t>
            </w:r>
            <w:r w:rsidR="00C86409"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8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75590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C86409"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>են</w:t>
            </w:r>
            <w:proofErr w:type="spellEnd"/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. 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յն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է՝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834B37" w:rsidP="0075590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100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Հիմնանորոգել և բարեկարգել  ներհամայնքային ճանապարհները։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գյուղական բնակավայրերի խմելու ջրի և ոռոգման համակարգերի բարելավման աշխատանքներ։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համայնքի սանիտարական մաքրմանը և աղբահանությանը վերաբերող բարեփոխումներ։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 Շարունակել համայնքի տարածքում աղբամանների 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տեղադրման աշխատանքները։</w:t>
            </w:r>
          </w:p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33298F" w:rsidRDefault="00A77CDF" w:rsidP="00A77CDF">
            <w:pPr>
              <w:spacing w:after="160" w:line="259" w:lineRule="auto"/>
              <w:contextualSpacing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99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Տրանսպորտ,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410D34" w:rsidP="00410D34">
            <w:pPr>
              <w:pStyle w:val="a9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95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33298F" w:rsidTr="00C86409">
        <w:trPr>
          <w:trHeight w:val="3695"/>
        </w:trPr>
        <w:tc>
          <w:tcPr>
            <w:tcW w:w="5954" w:type="dxa"/>
            <w:shd w:val="clear" w:color="auto" w:fill="auto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Ապահովել համայնքում կրթական ծառայությունների արդյունավետ մատուցումը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  <w:p w:rsidR="0077568C" w:rsidRPr="0033298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77568C" w:rsidRPr="0033298F" w:rsidRDefault="0077568C" w:rsidP="00410D34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Իրականացնել նախադպրոցական կրթության որակի բարելաման և մատչելիության ապահովման աշխատանքներ։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33298F" w:rsidRDefault="00410D34" w:rsidP="00C86409">
            <w:pPr>
              <w:spacing w:after="0" w:line="259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C86409" w:rsidRPr="0033298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 7.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●Ապահովել ՏԻՄ-երի կողմից համայնքի բնակչությանը՝ մշակույթի և երիտասարդության հետ տարվող որակյալ և մատչելի ծառայությունների մատուցումը։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Հիմնանորոգել համայնքի մշակութային օբյեկտները՝ համալրելով նոր գույքով։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33298F" w:rsidRDefault="00410D34" w:rsidP="00410D34">
            <w:pPr>
              <w:contextualSpacing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97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pStyle w:val="a9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 8. 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Ապահովել Ֆիզիկական կուլտուրայի և սպորտի բնագավառում որակյալ ծառայությունների մատուցումը։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Կազմակերպել ներհամայնքային մարզական միջոցառումներ։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410D34" w:rsidP="00410D3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98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  <w:p w:rsidR="0033298F" w:rsidRDefault="0033298F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</w:p>
          <w:p w:rsidR="0033298F" w:rsidRDefault="0033298F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</w:p>
          <w:p w:rsidR="0033298F" w:rsidRDefault="0033298F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3298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 Օգնել համայնքի անապահով,</w:t>
            </w:r>
            <w:r w:rsidRPr="0033298F">
              <w:rPr>
                <w:rFonts w:ascii="GHEA Grapalat" w:hAnsi="GHEA Grapalat"/>
              </w:rPr>
              <w:t xml:space="preserve">  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բազմազավակ</w:t>
            </w:r>
            <w:r w:rsidRPr="0033298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պատերազմում զոհվածների և վիրավորների ընտանիքներին</w:t>
            </w:r>
            <w:r w:rsidRPr="0033298F">
              <w:rPr>
                <w:rFonts w:ascii="GHEA Grapalat" w:hAnsi="GHEA Grapalat"/>
                <w:sz w:val="20"/>
                <w:szCs w:val="20"/>
              </w:rPr>
              <w:t>,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հաշմանդամություն ունեցող անձանց, տարեցներին, բարելավել նրանց  սոցիալական վիճակը։</w:t>
            </w:r>
          </w:p>
          <w:p w:rsidR="0077568C" w:rsidRPr="0033298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●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2D1970" w:rsidP="002D197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97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10. 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274"/>
        </w:trPr>
        <w:tc>
          <w:tcPr>
            <w:tcW w:w="5954" w:type="dxa"/>
          </w:tcPr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●Աջակցել գյուղատնտեսական նոր տեխնոլոգիաների ներդրմանը համայնքում։</w:t>
            </w:r>
          </w:p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Խթանել գյուղատնտեսական ծրագրերի իրականացմանը համայնքում։</w:t>
            </w:r>
          </w:p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գյուղմթերքի իրացմանը և վերամշակող արտադրությունների ստեղծմանը։</w:t>
            </w:r>
          </w:p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77568C" w:rsidRPr="0033298F" w:rsidRDefault="00AA50D3" w:rsidP="00C86409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="00C86409"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11.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33298F" w:rsidRDefault="0077568C" w:rsidP="00C8640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C86409"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 ընթացքում </w:t>
            </w: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ապահովում: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33298F" w:rsidRDefault="00AA50D3" w:rsidP="00AA50D3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100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33298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33298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33298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33298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33298F" w:rsidRDefault="0077568C" w:rsidP="00C8640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C86409"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 ընթացքում </w:t>
            </w: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33298F" w:rsidRDefault="00AA50D3" w:rsidP="00AA50D3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98 </w:t>
            </w:r>
            <w:r w:rsidRPr="0033298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</w:tbl>
    <w:p w:rsidR="00755901" w:rsidRPr="0033298F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p w:rsidR="00755901" w:rsidRPr="0033298F" w:rsidRDefault="00755901" w:rsidP="00755901">
      <w:pPr>
        <w:rPr>
          <w:rFonts w:ascii="GHEA Grapalat" w:hAnsi="GHEA Grapalat"/>
          <w:lang w:val="hy-AM"/>
        </w:rPr>
      </w:pPr>
    </w:p>
    <w:p w:rsidR="00755901" w:rsidRPr="0033298F" w:rsidRDefault="00755901" w:rsidP="00755901">
      <w:pPr>
        <w:spacing w:after="0" w:line="20" w:lineRule="atLeast"/>
        <w:jc w:val="both"/>
        <w:rPr>
          <w:rFonts w:ascii="GHEA Grapalat" w:hAnsi="GHEA Grapalat"/>
          <w:color w:val="000000"/>
          <w:lang w:val="hy-AM"/>
        </w:rPr>
      </w:pPr>
    </w:p>
    <w:p w:rsidR="006D6622" w:rsidRPr="0033298F" w:rsidRDefault="006D6622" w:rsidP="006D6622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hy-AM"/>
        </w:rPr>
      </w:pPr>
      <w:r w:rsidRPr="0033298F">
        <w:rPr>
          <w:rFonts w:ascii="GHEA Grapalat" w:hAnsi="GHEA Grapalat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6D6622" w:rsidRPr="0033298F" w:rsidRDefault="006D6622" w:rsidP="006D6622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6095"/>
        <w:gridCol w:w="1276"/>
        <w:gridCol w:w="1275"/>
        <w:gridCol w:w="1417"/>
      </w:tblGrid>
      <w:tr w:rsidR="006D6622" w:rsidRPr="0033298F" w:rsidTr="006D3CE7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ցուցանիշ %</w:t>
            </w: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բնույթի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հանրային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33298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33298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33298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33298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hy-AM"/>
              </w:rPr>
              <w:t>385495,0</w:t>
            </w:r>
          </w:p>
          <w:p w:rsidR="006D6622" w:rsidRPr="0033298F" w:rsidRDefault="006D6622" w:rsidP="006D3CE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hy-AM"/>
              </w:rPr>
              <w:t>58760,0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E13E2A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97,5 %</w:t>
            </w:r>
          </w:p>
          <w:p w:rsidR="00E13E2A" w:rsidRPr="0033298F" w:rsidRDefault="007407E1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92,7</w:t>
            </w:r>
            <w:r w:rsidR="00E13E2A"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33298F" w:rsidTr="006D3CE7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3298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2.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E13E2A" w:rsidP="006D3CE7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94,7 %</w:t>
            </w:r>
          </w:p>
        </w:tc>
      </w:tr>
      <w:tr w:rsidR="006D6622" w:rsidRPr="0033298F" w:rsidTr="006D3CE7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E13E2A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33298F" w:rsidRDefault="00AC1ACA" w:rsidP="00E13E2A">
            <w:pPr>
              <w:rPr>
                <w:rFonts w:ascii="GHEA Grapalat" w:hAnsi="GHEA Grapalat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</w:t>
            </w:r>
            <w:r w:rsidR="00E13E2A"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33298F" w:rsidTr="006D3CE7"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Փողոցների լուսավորությ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E13E2A" w:rsidP="006D3CE7">
            <w:pPr>
              <w:rPr>
                <w:rFonts w:ascii="GHEA Grapalat" w:hAnsi="GHEA Grapalat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99,9 %</w:t>
            </w:r>
          </w:p>
        </w:tc>
      </w:tr>
      <w:tr w:rsidR="006D6622" w:rsidRPr="0033298F" w:rsidTr="006D3CE7"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Ջրամատակարարում</w:t>
            </w: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33298F" w:rsidRDefault="00E13E2A" w:rsidP="00E13E2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100 %</w:t>
            </w:r>
          </w:p>
        </w:tc>
      </w:tr>
      <w:tr w:rsidR="006D6622" w:rsidRPr="0033298F" w:rsidTr="006D3CE7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Ճանապարհային տրանսպորտ ծրագիր</w:t>
            </w:r>
            <w:r w:rsidRPr="0033298F">
              <w:rPr>
                <w:rFonts w:ascii="GHEA Grapalat" w:hAnsi="GHEA Grapalat" w:cs="Arial"/>
                <w:sz w:val="20"/>
                <w:szCs w:val="20"/>
                <w:lang w:val="ru-RU"/>
              </w:rPr>
              <w:t>՝</w:t>
            </w: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ճանապարհների ընթացիկ նորոգում,</w:t>
            </w:r>
            <w:r w:rsidRPr="0033298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E13E2A" w:rsidP="006D3CE7">
            <w:pPr>
              <w:rPr>
                <w:rFonts w:ascii="GHEA Grapalat" w:hAnsi="GHEA Grapalat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98,5 %</w:t>
            </w:r>
          </w:p>
        </w:tc>
      </w:tr>
      <w:tr w:rsidR="006D6622" w:rsidRPr="0033298F" w:rsidTr="006D3CE7"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73598,6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33298F" w:rsidRDefault="00E13E2A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99,4 %</w:t>
            </w:r>
          </w:p>
        </w:tc>
      </w:tr>
      <w:tr w:rsidR="006D6622" w:rsidRPr="0033298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կազմակերպում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Արտադպրոցական դաստիարակության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577141,2</w:t>
            </w: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E13E2A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="00AC1ACA"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6,2</w:t>
            </w: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  <w:p w:rsidR="00E13E2A" w:rsidRPr="0033298F" w:rsidRDefault="00E13E2A" w:rsidP="00DC6942">
            <w:pPr>
              <w:spacing w:after="0"/>
              <w:rPr>
                <w:rFonts w:ascii="GHEA Grapalat" w:hAnsi="GHEA Grapalat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="00DC6942"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5,1</w:t>
            </w: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33298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BE2E46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Մշակույթի տներ, ակումբներ, կենտրոններ ծրագրիր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Այլ մշակույթային հիմնարկներ ծրագրում ընդգրկվել է Արմավիր համայնքի զբոսայգու ծախսերը 19956,2 հազար ՀՀ դրամ և համայնքային և պաշտոնական տոների և միջոցառումների գծով ծախսերը 23550,0 հազար  ՀՀ դրամ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43506,27</w:t>
            </w: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33298F" w:rsidRDefault="00BE2E46" w:rsidP="00BE2E46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84,9 %</w:t>
            </w:r>
          </w:p>
        </w:tc>
      </w:tr>
      <w:tr w:rsidR="006D6622" w:rsidRPr="0033298F" w:rsidTr="006D3CE7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Գրադարաններ ծրագրով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BE2E46" w:rsidP="006D3CE7">
            <w:pPr>
              <w:rPr>
                <w:rFonts w:ascii="GHEA Grapalat" w:hAnsi="GHEA Grapalat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86,4 %</w:t>
            </w:r>
          </w:p>
        </w:tc>
      </w:tr>
      <w:tr w:rsidR="006D6622" w:rsidRPr="0033298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7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BE2E46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Թաղման ծախսերի մասնակի հատուցման համար, 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խավերին մասնակի օգնություններ տրամադրելու համար՝ համայնքի ղեկավարի և ավագանու որոշումներով:</w:t>
            </w:r>
          </w:p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33298F" w:rsidRDefault="00BE2E46" w:rsidP="00BE2E46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84,8 %</w:t>
            </w:r>
          </w:p>
        </w:tc>
      </w:tr>
      <w:tr w:rsidR="006D6622" w:rsidRPr="0033298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:rsidR="006D6622" w:rsidRPr="0033298F" w:rsidRDefault="006D6622" w:rsidP="006D3CE7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33298F"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:rsidR="006D6622" w:rsidRPr="0033298F" w:rsidRDefault="006D6622" w:rsidP="006D3CE7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  <w:tr w:rsidR="006D6622" w:rsidRPr="0033298F" w:rsidTr="006D3CE7">
        <w:tc>
          <w:tcPr>
            <w:tcW w:w="541" w:type="dxa"/>
            <w:vAlign w:val="center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6D6622" w:rsidRPr="0033298F" w:rsidRDefault="006D6622" w:rsidP="006D3CE7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0D0D95" w:rsidP="000D0D95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80,7 %</w:t>
            </w:r>
          </w:p>
        </w:tc>
      </w:tr>
      <w:tr w:rsidR="006D6622" w:rsidRPr="0033298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298F">
              <w:rPr>
                <w:rFonts w:ascii="GHEA Grapalat" w:hAnsi="GHEA Grapalat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  <w:shd w:val="clear" w:color="auto" w:fill="FFFFFF"/>
          </w:tcPr>
          <w:p w:rsidR="006D6622" w:rsidRPr="0033298F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33298F" w:rsidRDefault="006D6622" w:rsidP="006D3CE7">
            <w:pPr>
              <w:rPr>
                <w:rFonts w:ascii="GHEA Grapalat" w:hAnsi="GHEA Grapalat"/>
              </w:rPr>
            </w:pPr>
          </w:p>
        </w:tc>
      </w:tr>
    </w:tbl>
    <w:p w:rsidR="006D6622" w:rsidRPr="0033298F" w:rsidRDefault="006D6622" w:rsidP="006D6622">
      <w:pPr>
        <w:rPr>
          <w:rFonts w:ascii="GHEA Grapalat" w:hAnsi="GHEA Grapalat"/>
          <w:color w:val="000000"/>
          <w:lang w:val="ru-RU"/>
        </w:rPr>
      </w:pPr>
    </w:p>
    <w:p w:rsidR="006D6622" w:rsidRPr="0033298F" w:rsidRDefault="006D6622" w:rsidP="006D6622">
      <w:pPr>
        <w:rPr>
          <w:rFonts w:ascii="GHEA Grapalat" w:hAnsi="GHEA Grapalat"/>
          <w:color w:val="000000"/>
          <w:lang w:val="hy-AM"/>
        </w:rPr>
      </w:pPr>
    </w:p>
    <w:p w:rsidR="006D6622" w:rsidRPr="0033298F" w:rsidRDefault="006D6622" w:rsidP="006D6622">
      <w:pPr>
        <w:rPr>
          <w:rFonts w:ascii="GHEA Grapalat" w:hAnsi="GHEA Grapalat"/>
          <w:lang w:val="ru-RU"/>
        </w:rPr>
      </w:pPr>
    </w:p>
    <w:p w:rsidR="006D6622" w:rsidRPr="0033298F" w:rsidRDefault="006D6622" w:rsidP="006D6622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ru-RU"/>
        </w:rPr>
      </w:pPr>
      <w:r w:rsidRPr="0033298F">
        <w:rPr>
          <w:rFonts w:ascii="GHEA Grapalat" w:hAnsi="GHEA Grapalat"/>
          <w:b/>
          <w:color w:val="000000"/>
          <w:lang w:val="ru-RU"/>
        </w:rPr>
        <w:t>Կապիտալ ծախսեր</w:t>
      </w:r>
    </w:p>
    <w:p w:rsidR="006D6622" w:rsidRPr="0033298F" w:rsidRDefault="006D6622" w:rsidP="006D6622">
      <w:pPr>
        <w:rPr>
          <w:rFonts w:ascii="GHEA Grapalat" w:hAnsi="GHEA Grapalat"/>
          <w:lang w:val="hy-AM"/>
        </w:rPr>
      </w:pPr>
    </w:p>
    <w:tbl>
      <w:tblPr>
        <w:tblStyle w:val="ab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5388"/>
        <w:gridCol w:w="1702"/>
        <w:gridCol w:w="1844"/>
      </w:tblGrid>
      <w:tr w:rsidR="006D6622" w:rsidRPr="0033298F" w:rsidTr="006D3CE7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Pr="0033298F" w:rsidRDefault="006D6622" w:rsidP="006D3C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Pr="0033298F" w:rsidRDefault="006D6622" w:rsidP="006D3C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Pr="0033298F" w:rsidRDefault="006D6622" w:rsidP="006D3C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Արժեք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Pr="0033298F" w:rsidRDefault="006D6622" w:rsidP="006D3C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29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ցուցանիշ</w:t>
            </w:r>
          </w:p>
        </w:tc>
      </w:tr>
      <w:tr w:rsidR="006D6622" w:rsidRPr="0033298F" w:rsidTr="000D0D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ru-RU"/>
              </w:rPr>
            </w:pPr>
            <w:r w:rsidRPr="0033298F">
              <w:rPr>
                <w:rFonts w:ascii="GHEA Grapalat" w:hAnsi="GHEA Grapalat"/>
                <w:lang w:val="ru-RU"/>
              </w:rPr>
              <w:t>5122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 w:rsidRPr="0033298F">
              <w:rPr>
                <w:rFonts w:ascii="Cambria Math" w:eastAsia="Times New Roman" w:hAnsi="Cambria Math" w:cs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2000,0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0D0D95" w:rsidP="000D0D95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100 %</w:t>
            </w:r>
          </w:p>
        </w:tc>
      </w:tr>
      <w:tr w:rsidR="006D6622" w:rsidRPr="0033298F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ծառայություններ(</w:t>
            </w:r>
            <w:r w:rsidRPr="0033298F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84,4</w:t>
            </w:r>
            <w:r w:rsidR="000D0D95"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33298F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ru-RU"/>
              </w:rPr>
              <w:t>511</w:t>
            </w:r>
            <w:r w:rsidRPr="0033298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90,9 %</w:t>
            </w:r>
          </w:p>
        </w:tc>
      </w:tr>
      <w:tr w:rsidR="006D6622" w:rsidRPr="0033298F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ru-RU"/>
              </w:rPr>
              <w:t>51</w:t>
            </w:r>
            <w:r w:rsidRPr="0033298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97,1 %</w:t>
            </w:r>
          </w:p>
        </w:tc>
      </w:tr>
      <w:tr w:rsidR="006D6622" w:rsidRPr="0033298F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93,6 %</w:t>
            </w:r>
          </w:p>
        </w:tc>
      </w:tr>
      <w:tr w:rsidR="006D6622" w:rsidRPr="0033298F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hAnsi="GHEA Grapalat"/>
                <w:lang w:val="hy-AM"/>
              </w:rPr>
            </w:pPr>
            <w:r w:rsidRPr="0033298F">
              <w:rPr>
                <w:rFonts w:ascii="GHEA Grapalat" w:hAnsi="GHEA Grapalat"/>
                <w:lang w:val="ru-RU"/>
              </w:rPr>
              <w:t>51</w:t>
            </w:r>
            <w:r w:rsidRPr="0033298F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33298F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33298F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3329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46,8 %</w:t>
            </w:r>
          </w:p>
        </w:tc>
      </w:tr>
    </w:tbl>
    <w:p w:rsidR="006D6622" w:rsidRPr="0033298F" w:rsidRDefault="006D6622" w:rsidP="006D6622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33298F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6D6622" w:rsidRPr="0033298F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33298F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ՏԱՊ-ում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6D6622" w:rsidRPr="0033298F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33298F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:rsidR="006D6622" w:rsidRPr="0033298F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33298F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:rsidR="006D6622" w:rsidRPr="0033298F" w:rsidRDefault="006D6622" w:rsidP="006D6622">
      <w:pPr>
        <w:rPr>
          <w:rFonts w:ascii="GHEA Grapalat" w:hAnsi="GHEA Grapalat"/>
          <w:lang w:val="hy-AM"/>
        </w:rPr>
      </w:pPr>
    </w:p>
    <w:p w:rsidR="006D6622" w:rsidRPr="0033298F" w:rsidRDefault="006D6622" w:rsidP="006D6622">
      <w:pPr>
        <w:rPr>
          <w:rFonts w:ascii="GHEA Grapalat" w:hAnsi="GHEA Grapalat"/>
          <w:lang w:val="hy-AM"/>
        </w:rPr>
      </w:pPr>
    </w:p>
    <w:p w:rsidR="006D6622" w:rsidRPr="0033298F" w:rsidRDefault="006D6622" w:rsidP="006D6622">
      <w:pPr>
        <w:rPr>
          <w:rFonts w:ascii="GHEA Grapalat" w:hAnsi="GHEA Grapalat"/>
          <w:lang w:val="hy-AM"/>
        </w:rPr>
      </w:pPr>
    </w:p>
    <w:p w:rsidR="00346F31" w:rsidRPr="0033298F" w:rsidRDefault="00346F31" w:rsidP="00D21361">
      <w:pPr>
        <w:rPr>
          <w:rFonts w:ascii="GHEA Grapalat" w:hAnsi="GHEA Grapalat"/>
          <w:lang w:val="hy-AM"/>
        </w:rPr>
      </w:pPr>
    </w:p>
    <w:p w:rsidR="00346F31" w:rsidRPr="0033298F" w:rsidRDefault="00346F31" w:rsidP="00D21361">
      <w:pPr>
        <w:rPr>
          <w:rFonts w:ascii="GHEA Grapalat" w:hAnsi="GHEA Grapalat"/>
          <w:lang w:val="hy-AM"/>
        </w:rPr>
      </w:pPr>
    </w:p>
    <w:p w:rsidR="00346F31" w:rsidRPr="0033298F" w:rsidRDefault="00346F31" w:rsidP="00D21361">
      <w:pPr>
        <w:rPr>
          <w:rFonts w:ascii="GHEA Grapalat" w:hAnsi="GHEA Grapalat"/>
          <w:lang w:val="hy-AM"/>
        </w:rPr>
      </w:pPr>
    </w:p>
    <w:sectPr w:rsidR="00346F31" w:rsidRPr="0033298F" w:rsidSect="0033298F">
      <w:pgSz w:w="11906" w:h="16838"/>
      <w:pgMar w:top="142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2F40"/>
    <w:rsid w:val="000A2C1F"/>
    <w:rsid w:val="000B6BBA"/>
    <w:rsid w:val="000D0D95"/>
    <w:rsid w:val="000E663B"/>
    <w:rsid w:val="000F3AA5"/>
    <w:rsid w:val="000F519A"/>
    <w:rsid w:val="00101D2B"/>
    <w:rsid w:val="00132448"/>
    <w:rsid w:val="0013380F"/>
    <w:rsid w:val="00142065"/>
    <w:rsid w:val="00145213"/>
    <w:rsid w:val="001A7398"/>
    <w:rsid w:val="001B3EEC"/>
    <w:rsid w:val="001E0BE9"/>
    <w:rsid w:val="001E4685"/>
    <w:rsid w:val="001E528A"/>
    <w:rsid w:val="002136A6"/>
    <w:rsid w:val="00232913"/>
    <w:rsid w:val="0024651F"/>
    <w:rsid w:val="00280D81"/>
    <w:rsid w:val="002A7F29"/>
    <w:rsid w:val="002C7AED"/>
    <w:rsid w:val="002D1970"/>
    <w:rsid w:val="002D6E51"/>
    <w:rsid w:val="002E6AEA"/>
    <w:rsid w:val="0033298F"/>
    <w:rsid w:val="003403F0"/>
    <w:rsid w:val="00346F31"/>
    <w:rsid w:val="0035282A"/>
    <w:rsid w:val="00363BC0"/>
    <w:rsid w:val="003661A9"/>
    <w:rsid w:val="00377AD6"/>
    <w:rsid w:val="003C09AF"/>
    <w:rsid w:val="003D0A98"/>
    <w:rsid w:val="003D3839"/>
    <w:rsid w:val="0040579D"/>
    <w:rsid w:val="00410D34"/>
    <w:rsid w:val="004129A4"/>
    <w:rsid w:val="00422E15"/>
    <w:rsid w:val="00425F52"/>
    <w:rsid w:val="00426B27"/>
    <w:rsid w:val="00454128"/>
    <w:rsid w:val="0045570C"/>
    <w:rsid w:val="004574E3"/>
    <w:rsid w:val="0049372B"/>
    <w:rsid w:val="004B520A"/>
    <w:rsid w:val="004D3870"/>
    <w:rsid w:val="004D76A7"/>
    <w:rsid w:val="004E2E72"/>
    <w:rsid w:val="00503542"/>
    <w:rsid w:val="00507610"/>
    <w:rsid w:val="005303AF"/>
    <w:rsid w:val="00536257"/>
    <w:rsid w:val="00545D85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92B06"/>
    <w:rsid w:val="006A01C4"/>
    <w:rsid w:val="006A75D2"/>
    <w:rsid w:val="006B68FF"/>
    <w:rsid w:val="006D6113"/>
    <w:rsid w:val="006D6622"/>
    <w:rsid w:val="006F5954"/>
    <w:rsid w:val="006F5E2E"/>
    <w:rsid w:val="006F7C86"/>
    <w:rsid w:val="0070383B"/>
    <w:rsid w:val="0070611D"/>
    <w:rsid w:val="00717A7F"/>
    <w:rsid w:val="00732361"/>
    <w:rsid w:val="007407E1"/>
    <w:rsid w:val="00742218"/>
    <w:rsid w:val="007428E4"/>
    <w:rsid w:val="007507B4"/>
    <w:rsid w:val="00752949"/>
    <w:rsid w:val="0075350F"/>
    <w:rsid w:val="00755901"/>
    <w:rsid w:val="00760E5F"/>
    <w:rsid w:val="0077568C"/>
    <w:rsid w:val="00790662"/>
    <w:rsid w:val="007F02BF"/>
    <w:rsid w:val="007F6CB3"/>
    <w:rsid w:val="00831975"/>
    <w:rsid w:val="00834B37"/>
    <w:rsid w:val="008600B7"/>
    <w:rsid w:val="008656E7"/>
    <w:rsid w:val="0088089E"/>
    <w:rsid w:val="00885DF7"/>
    <w:rsid w:val="00890C50"/>
    <w:rsid w:val="008C1B4B"/>
    <w:rsid w:val="008C4347"/>
    <w:rsid w:val="009023FB"/>
    <w:rsid w:val="00937448"/>
    <w:rsid w:val="0094511A"/>
    <w:rsid w:val="00960A8E"/>
    <w:rsid w:val="009656C7"/>
    <w:rsid w:val="00982064"/>
    <w:rsid w:val="00984F35"/>
    <w:rsid w:val="009A42FC"/>
    <w:rsid w:val="009B346F"/>
    <w:rsid w:val="009D2DE1"/>
    <w:rsid w:val="009F72AB"/>
    <w:rsid w:val="009F7A47"/>
    <w:rsid w:val="00A00C19"/>
    <w:rsid w:val="00A128ED"/>
    <w:rsid w:val="00A533D0"/>
    <w:rsid w:val="00A6606B"/>
    <w:rsid w:val="00A73ABF"/>
    <w:rsid w:val="00A77CDF"/>
    <w:rsid w:val="00A94EBD"/>
    <w:rsid w:val="00AA0D5E"/>
    <w:rsid w:val="00AA24DD"/>
    <w:rsid w:val="00AA50D3"/>
    <w:rsid w:val="00AB5063"/>
    <w:rsid w:val="00AC1ACA"/>
    <w:rsid w:val="00AE151F"/>
    <w:rsid w:val="00AE29CF"/>
    <w:rsid w:val="00AF3872"/>
    <w:rsid w:val="00AF51C6"/>
    <w:rsid w:val="00B015EC"/>
    <w:rsid w:val="00B25498"/>
    <w:rsid w:val="00B27A57"/>
    <w:rsid w:val="00B35FEB"/>
    <w:rsid w:val="00B3623E"/>
    <w:rsid w:val="00B416BC"/>
    <w:rsid w:val="00B603B6"/>
    <w:rsid w:val="00B70282"/>
    <w:rsid w:val="00B9159D"/>
    <w:rsid w:val="00BB14D0"/>
    <w:rsid w:val="00BD234E"/>
    <w:rsid w:val="00BE2E46"/>
    <w:rsid w:val="00BF3F00"/>
    <w:rsid w:val="00BF7114"/>
    <w:rsid w:val="00C0022D"/>
    <w:rsid w:val="00C0552D"/>
    <w:rsid w:val="00C10F45"/>
    <w:rsid w:val="00C115E8"/>
    <w:rsid w:val="00C55533"/>
    <w:rsid w:val="00C86409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1466"/>
    <w:rsid w:val="00D714B6"/>
    <w:rsid w:val="00D90053"/>
    <w:rsid w:val="00D978D4"/>
    <w:rsid w:val="00DC6942"/>
    <w:rsid w:val="00DD01F2"/>
    <w:rsid w:val="00DF1E36"/>
    <w:rsid w:val="00E01601"/>
    <w:rsid w:val="00E12EBB"/>
    <w:rsid w:val="00E13E2A"/>
    <w:rsid w:val="00E16A13"/>
    <w:rsid w:val="00E1796A"/>
    <w:rsid w:val="00E27A1F"/>
    <w:rsid w:val="00E27CD9"/>
    <w:rsid w:val="00E27EE2"/>
    <w:rsid w:val="00E31F3F"/>
    <w:rsid w:val="00E417E5"/>
    <w:rsid w:val="00E73544"/>
    <w:rsid w:val="00E7596E"/>
    <w:rsid w:val="00EA215D"/>
    <w:rsid w:val="00EB200F"/>
    <w:rsid w:val="00ED088E"/>
    <w:rsid w:val="00EE45E0"/>
    <w:rsid w:val="00EF0757"/>
    <w:rsid w:val="00F019EC"/>
    <w:rsid w:val="00F25CC0"/>
    <w:rsid w:val="00F37F19"/>
    <w:rsid w:val="00F52014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46F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F3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9CC1-BA8F-4A3E-9BB8-7861CAA1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96</cp:revision>
  <cp:lastPrinted>2024-02-26T06:48:00Z</cp:lastPrinted>
  <dcterms:created xsi:type="dcterms:W3CDTF">2020-02-18T08:34:00Z</dcterms:created>
  <dcterms:modified xsi:type="dcterms:W3CDTF">2024-02-26T06:49:00Z</dcterms:modified>
</cp:coreProperties>
</file>