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</w:t>
      </w:r>
      <w:proofErr w:type="gramStart"/>
      <w:r w:rsidRPr="00896874">
        <w:rPr>
          <w:rFonts w:ascii="Sylfaen" w:hAnsi="Sylfaen" w:cs="Sylfaen"/>
          <w:b/>
          <w:sz w:val="48"/>
          <w:szCs w:val="48"/>
          <w:lang w:val="ru-RU"/>
        </w:rPr>
        <w:t>202</w:t>
      </w:r>
      <w:r w:rsidR="003E3B1D">
        <w:rPr>
          <w:rFonts w:ascii="Sylfaen" w:hAnsi="Sylfaen" w:cs="Sylfaen"/>
          <w:b/>
          <w:sz w:val="48"/>
          <w:szCs w:val="48"/>
          <w:lang w:val="ru-RU"/>
        </w:rPr>
        <w:t>1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  <w:proofErr w:type="gramEnd"/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</w:p>
    <w:p w:rsidR="00145213" w:rsidRP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C0FE6" w:rsidRDefault="00D21361" w:rsidP="00D21361">
      <w:pPr>
        <w:spacing w:after="0" w:line="20" w:lineRule="atLeast"/>
        <w:jc w:val="center"/>
        <w:rPr>
          <w:rFonts w:ascii="Sylfaen" w:hAnsi="Sylfaen"/>
          <w:bCs/>
          <w:color w:val="538135"/>
          <w:sz w:val="28"/>
          <w:szCs w:val="28"/>
          <w:lang w:val="ru-RU"/>
        </w:rPr>
      </w:pPr>
    </w:p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4993402" cy="2867025"/>
            <wp:effectExtent l="19050" t="0" r="0" b="0"/>
            <wp:docPr id="1" name="Рисунок 1" descr="received_1618467444886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ved_16184674448868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02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08189C">
      <w:pPr>
        <w:spacing w:after="0" w:line="20" w:lineRule="atLeast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D21361" w:rsidRDefault="00D21361" w:rsidP="00D2136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u-RU"/>
        </w:rPr>
      </w:pPr>
      <w:r>
        <w:rPr>
          <w:rFonts w:ascii="Sylfaen" w:hAnsi="Sylfaen" w:cs="Sylfaen"/>
          <w:b/>
          <w:bCs/>
          <w:sz w:val="28"/>
          <w:szCs w:val="28"/>
          <w:lang w:val="ru-RU"/>
        </w:rPr>
        <w:t xml:space="preserve">                    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>Կազմե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լ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է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համայնքի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ղեկավար   Դավիթ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 </w:t>
      </w:r>
      <w:proofErr w:type="spellStart"/>
      <w:r w:rsidRPr="00C81A83">
        <w:rPr>
          <w:rFonts w:ascii="Sylfaen" w:hAnsi="Sylfaen" w:cs="Sylfaen"/>
          <w:b/>
          <w:bCs/>
          <w:sz w:val="28"/>
          <w:szCs w:val="28"/>
        </w:rPr>
        <w:t>Հովհաննեսի</w:t>
      </w:r>
      <w:proofErr w:type="spellEnd"/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Խուդաթյան</w:t>
      </w:r>
      <w:r w:rsidR="0008189C">
        <w:rPr>
          <w:rFonts w:ascii="Sylfaen" w:hAnsi="Sylfaen" w:cs="Sylfaen"/>
          <w:b/>
          <w:bCs/>
          <w:sz w:val="28"/>
          <w:szCs w:val="28"/>
          <w:lang w:val="ru-RU"/>
        </w:rPr>
        <w:t>ը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</w:p>
    <w:p w:rsidR="00145213" w:rsidRPr="00145213" w:rsidRDefault="00D21361" w:rsidP="00145213">
      <w:pPr>
        <w:spacing w:after="0" w:line="20" w:lineRule="atLeast"/>
        <w:ind w:left="720" w:firstLine="720"/>
        <w:rPr>
          <w:rFonts w:ascii="Sylfaen" w:hAnsi="Sylfaen"/>
          <w:b/>
          <w:bCs/>
          <w:sz w:val="28"/>
          <w:szCs w:val="28"/>
          <w:lang w:val="ru-RU"/>
        </w:rPr>
      </w:pP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>Հաստատվել է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համայնքի ավագանու </w:t>
      </w:r>
      <w:r w:rsidRPr="00650D6E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232913">
        <w:rPr>
          <w:rFonts w:ascii="Sylfaen" w:hAnsi="Sylfaen"/>
          <w:b/>
          <w:bCs/>
          <w:sz w:val="28"/>
          <w:szCs w:val="28"/>
          <w:lang w:val="ru-RU"/>
        </w:rPr>
        <w:t xml:space="preserve"> _____ 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>որոշմամբ</w:t>
      </w:r>
    </w:p>
    <w:p w:rsidR="00D21361" w:rsidRDefault="00D21361" w:rsidP="00D21361">
      <w:pPr>
        <w:pStyle w:val="a6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  <w:lang w:val="ru-RU"/>
        </w:rPr>
      </w:pPr>
      <w:r w:rsidRPr="00D607BE">
        <w:rPr>
          <w:rFonts w:ascii="Sylfaen" w:hAnsi="Sylfaen"/>
          <w:b/>
          <w:color w:val="000000"/>
          <w:sz w:val="44"/>
          <w:szCs w:val="44"/>
          <w:lang w:val="hy-AM"/>
        </w:rPr>
        <w:lastRenderedPageBreak/>
        <w:t>Բովանդակություն</w:t>
      </w:r>
    </w:p>
    <w:p w:rsidR="00D21361" w:rsidRPr="00D607BE" w:rsidRDefault="00D21361" w:rsidP="00D21361">
      <w:pPr>
        <w:rPr>
          <w:lang w:val="ru-RU"/>
        </w:rPr>
      </w:pPr>
    </w:p>
    <w:p w:rsidR="00D21361" w:rsidRPr="00D607BE" w:rsidRDefault="00D21361" w:rsidP="00D21361">
      <w:pPr>
        <w:pStyle w:val="11"/>
        <w:tabs>
          <w:tab w:val="right" w:leader="dot" w:pos="10529"/>
        </w:tabs>
        <w:rPr>
          <w:rFonts w:ascii="Sylfaen" w:hAnsi="Sylfaen"/>
          <w:b w:val="0"/>
          <w:caps w:val="0"/>
          <w:noProof/>
          <w:szCs w:val="24"/>
          <w:lang w:val="hy-AM"/>
        </w:rPr>
      </w:pPr>
      <w:r w:rsidRPr="00AE29CF">
        <w:rPr>
          <w:rFonts w:ascii="Sylfaen" w:hAnsi="Sylfaen"/>
          <w:b w:val="0"/>
          <w:color w:val="000000"/>
          <w:szCs w:val="24"/>
          <w:lang w:val="ru-RU"/>
        </w:rPr>
        <w:t xml:space="preserve">       </w:t>
      </w:r>
      <w:r w:rsidR="00956510" w:rsidRPr="00956510">
        <w:rPr>
          <w:rFonts w:ascii="Sylfaen" w:hAnsi="Sylfaen"/>
          <w:b w:val="0"/>
          <w:color w:val="000000"/>
          <w:szCs w:val="24"/>
          <w:lang w:val="hy-AM"/>
        </w:rPr>
        <w:fldChar w:fldCharType="begin"/>
      </w:r>
      <w:r w:rsidRPr="00D607BE">
        <w:rPr>
          <w:rFonts w:ascii="Sylfaen" w:hAnsi="Sylfaen"/>
          <w:b w:val="0"/>
          <w:color w:val="000000"/>
          <w:szCs w:val="24"/>
          <w:lang w:val="hy-AM"/>
        </w:rPr>
        <w:instrText xml:space="preserve"> TOC \o "1-3" \h \z \u </w:instrText>
      </w:r>
      <w:r w:rsidR="00956510" w:rsidRPr="00956510">
        <w:rPr>
          <w:rFonts w:ascii="Sylfaen" w:hAnsi="Sylfaen"/>
          <w:b w:val="0"/>
          <w:color w:val="000000"/>
          <w:szCs w:val="24"/>
          <w:lang w:val="hy-AM"/>
        </w:rPr>
        <w:fldChar w:fldCharType="separate"/>
      </w:r>
      <w:hyperlink w:anchor="_Toc500774758" w:history="1">
        <w:r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Ներածություն</w:t>
        </w:r>
        <w:r w:rsidRPr="00D607BE">
          <w:rPr>
            <w:rFonts w:ascii="Sylfaen" w:hAnsi="Sylfaen"/>
            <w:b w:val="0"/>
            <w:noProof/>
            <w:webHidden/>
            <w:szCs w:val="24"/>
            <w:lang w:val="hy-AM"/>
          </w:rPr>
          <w:tab/>
        </w:r>
      </w:hyperlink>
    </w:p>
    <w:p w:rsidR="00D21361" w:rsidRDefault="00956510" w:rsidP="00D21361">
      <w:pPr>
        <w:pStyle w:val="11"/>
        <w:tabs>
          <w:tab w:val="left" w:pos="440"/>
          <w:tab w:val="right" w:leader="dot" w:pos="10529"/>
        </w:tabs>
        <w:rPr>
          <w:rFonts w:ascii="Sylfaen" w:hAnsi="Sylfaen"/>
          <w:szCs w:val="24"/>
          <w:lang w:val="ru-RU"/>
        </w:rPr>
      </w:pPr>
      <w:hyperlink w:anchor="_Toc500774759" w:history="1"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1.</w:t>
        </w:r>
        <w:r w:rsidR="00D21361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Համայնքի տեսլականը </w:t>
        </w:r>
        <w:r w:rsidR="0049372B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ԵՎ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ոլորտային նպատակները</w:t>
        </w:r>
        <w:r w:rsidR="00D21361" w:rsidRPr="00D607BE">
          <w:rPr>
            <w:rFonts w:ascii="Sylfaen" w:hAnsi="Sylfaen"/>
            <w:b w:val="0"/>
            <w:noProof/>
            <w:webHidden/>
            <w:szCs w:val="24"/>
          </w:rPr>
          <w:tab/>
        </w:r>
      </w:hyperlink>
    </w:p>
    <w:p w:rsidR="00D21361" w:rsidRPr="00D21361" w:rsidRDefault="00D21361" w:rsidP="00D21361">
      <w:pPr>
        <w:rPr>
          <w:lang w:val="ru-RU"/>
        </w:rPr>
      </w:pPr>
      <w:r>
        <w:rPr>
          <w:lang w:val="ru-RU"/>
        </w:rPr>
        <w:t xml:space="preserve">2.     </w:t>
      </w:r>
      <w:r w:rsidRPr="00D21361">
        <w:rPr>
          <w:rFonts w:ascii="GHEA Grapalat" w:hAnsi="GHEA Grapalat"/>
          <w:lang w:val="ru-RU"/>
        </w:rPr>
        <w:t xml:space="preserve"> ՀԱՄԱՅՆՔԻ ԱՇԽԱՏԱԿԱԶՄԻ ԵՎ ԱՎԱԳԱՆՈՒ ԱՇԽԱՏԱՆՔԱՅԻՆ ԾՐԱԳԻՐ</w:t>
      </w:r>
      <w:r>
        <w:rPr>
          <w:lang w:val="ru-RU"/>
        </w:rPr>
        <w:t>……………………………………</w:t>
      </w:r>
      <w:r w:rsidR="00D06CB3">
        <w:rPr>
          <w:lang w:val="ru-RU"/>
        </w:rPr>
        <w:t>.</w:t>
      </w:r>
    </w:p>
    <w:p w:rsidR="00D21361" w:rsidRDefault="00956510" w:rsidP="00D21361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lang w:val="ru-RU"/>
        </w:rPr>
      </w:pPr>
      <w:hyperlink w:anchor="_Toc500774760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3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.</w:t>
        </w:r>
        <w:r w:rsidR="00D21361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Համայնքի 202</w:t>
        </w:r>
        <w:r w:rsidR="00F46130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1</w:t>
        </w:r>
        <w:r w:rsidR="00D21361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թ. ծրագրերի ցանկը </w:t>
        </w:r>
        <w:r w:rsidR="00D21361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Եվ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տրամաբանական հենքերը (ըստ ոլորտների)</w:t>
        </w:r>
      </w:hyperlink>
    </w:p>
    <w:p w:rsidR="00232913" w:rsidRDefault="00956510" w:rsidP="00232913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lang w:val="ru-RU"/>
        </w:rPr>
      </w:pPr>
      <w:hyperlink w:anchor="_Toc500774762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4.</w:t>
        </w:r>
        <w:r w:rsidR="00232913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232913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Համայնքի ՏԱՊ-ի 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 xml:space="preserve">ծրագրեր, որոնք ապահովված են </w:t>
        </w:r>
        <w:r w:rsidR="00232913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ֆինանսա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կան</w:t>
        </w:r>
        <w:r w:rsidR="00232913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միջոցներով</w:t>
        </w:r>
      </w:hyperlink>
      <w:r w:rsidR="00D06CB3">
        <w:rPr>
          <w:rFonts w:asciiTheme="minorHAnsi" w:hAnsiTheme="minorHAnsi"/>
          <w:lang w:val="ru-RU"/>
        </w:rPr>
        <w:t>...</w:t>
      </w:r>
    </w:p>
    <w:p w:rsidR="00D06CB3" w:rsidRPr="00D06CB3" w:rsidRDefault="00956510" w:rsidP="00D06CB3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b w:val="0"/>
          <w:caps w:val="0"/>
          <w:noProof/>
          <w:szCs w:val="24"/>
          <w:lang w:val="ru-RU"/>
        </w:rPr>
      </w:pPr>
      <w:hyperlink w:anchor="_Toc500774761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5</w:t>
        </w:r>
        <w:r w:rsidR="00D06CB3" w:rsidRP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.</w:t>
        </w:r>
      </w:hyperlink>
      <w:r w:rsidR="00D06CB3" w:rsidRPr="00D06CB3">
        <w:rPr>
          <w:rFonts w:asciiTheme="minorHAnsi" w:hAnsiTheme="minorHAnsi"/>
          <w:b w:val="0"/>
          <w:lang w:val="ru-RU"/>
        </w:rPr>
        <w:t xml:space="preserve">    </w:t>
      </w:r>
      <w:r w:rsidR="00D06CB3">
        <w:rPr>
          <w:rFonts w:asciiTheme="minorHAnsi" w:hAnsiTheme="minorHAnsi"/>
          <w:b w:val="0"/>
          <w:lang w:val="ru-RU"/>
        </w:rPr>
        <w:t xml:space="preserve"> </w:t>
      </w:r>
      <w:r w:rsidR="00D06CB3" w:rsidRPr="00D06CB3">
        <w:rPr>
          <w:rFonts w:asciiTheme="minorHAnsi" w:hAnsiTheme="minorHAnsi"/>
          <w:b w:val="0"/>
          <w:lang w:val="ru-RU"/>
        </w:rPr>
        <w:t>ՀԱՄԱՅՆՔԻ ԿԱՊԻՏԱԼ ԾԱԽՍԵՐ………………………………………………………………………………………………………….</w:t>
      </w:r>
    </w:p>
    <w:p w:rsidR="00D21361" w:rsidRPr="00D06CB3" w:rsidRDefault="00956510" w:rsidP="00D21361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b w:val="0"/>
          <w:caps w:val="0"/>
          <w:noProof/>
          <w:szCs w:val="24"/>
          <w:lang w:val="ru-RU"/>
        </w:rPr>
      </w:pPr>
      <w:hyperlink w:anchor="_Toc500774761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6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.</w:t>
        </w:r>
        <w:r w:rsidR="00D21361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Համայնքային գույքի կառավարման 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202</w:t>
        </w:r>
        <w:r w:rsidR="00A3136A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1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 xml:space="preserve"> 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թ. ծրագիրը</w:t>
        </w:r>
        <w:r w:rsidR="00D21361" w:rsidRPr="00D607BE">
          <w:rPr>
            <w:rFonts w:ascii="Sylfaen" w:hAnsi="Sylfaen"/>
            <w:b w:val="0"/>
            <w:noProof/>
            <w:webHidden/>
            <w:szCs w:val="24"/>
          </w:rPr>
          <w:tab/>
        </w:r>
      </w:hyperlink>
    </w:p>
    <w:p w:rsidR="0045570C" w:rsidRDefault="00956510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  <w:r w:rsidRPr="00D607BE">
        <w:rPr>
          <w:rFonts w:ascii="Sylfaen" w:hAnsi="Sylfaen"/>
          <w:bCs/>
          <w:color w:val="000000"/>
          <w:sz w:val="24"/>
          <w:szCs w:val="24"/>
          <w:lang w:val="hy-AM"/>
        </w:rPr>
        <w:fldChar w:fldCharType="end"/>
      </w: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Pr="00650D6E" w:rsidRDefault="00D21361" w:rsidP="00D21361">
      <w:pPr>
        <w:pStyle w:val="1"/>
        <w:spacing w:before="0" w:line="20" w:lineRule="atLeast"/>
        <w:jc w:val="center"/>
        <w:rPr>
          <w:rFonts w:ascii="Sylfaen" w:hAnsi="Sylfaen" w:cs="Arial"/>
          <w:b w:val="0"/>
          <w:color w:val="000000"/>
          <w:sz w:val="36"/>
          <w:szCs w:val="24"/>
          <w:lang w:val="hy-AM"/>
        </w:rPr>
      </w:pPr>
      <w:bookmarkStart w:id="0" w:name="_Toc500774758"/>
      <w:r w:rsidRPr="00650D6E">
        <w:rPr>
          <w:rFonts w:ascii="Sylfaen" w:hAnsi="Sylfaen" w:cs="Arial"/>
          <w:b w:val="0"/>
          <w:color w:val="000000"/>
          <w:sz w:val="36"/>
          <w:szCs w:val="24"/>
          <w:lang w:val="hy-AM"/>
        </w:rPr>
        <w:lastRenderedPageBreak/>
        <w:t>Ներածություն</w:t>
      </w:r>
      <w:bookmarkEnd w:id="0"/>
    </w:p>
    <w:p w:rsidR="00D21361" w:rsidRPr="00650D6E" w:rsidRDefault="00D21361" w:rsidP="00D21361">
      <w:pPr>
        <w:rPr>
          <w:rFonts w:ascii="Sylfaen" w:hAnsi="Sylfaen"/>
          <w:color w:val="538135"/>
          <w:sz w:val="10"/>
          <w:lang w:val="hy-AM"/>
        </w:rPr>
      </w:pPr>
    </w:p>
    <w:p w:rsidR="0049372B" w:rsidRPr="0049372B" w:rsidRDefault="0049372B" w:rsidP="00D2136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9372B">
        <w:rPr>
          <w:rFonts w:ascii="GHEA Grapalat" w:hAnsi="GHEA Grapalat"/>
          <w:lang w:val="hy-AM"/>
        </w:rPr>
        <w:t>ՏԱՊ-ը</w:t>
      </w:r>
      <w:r w:rsidRPr="00F52BDE">
        <w:rPr>
          <w:rFonts w:ascii="GHEA Grapalat" w:hAnsi="GHEA Grapalat"/>
          <w:b/>
          <w:lang w:val="hy-AM"/>
        </w:rPr>
        <w:t xml:space="preserve"> </w:t>
      </w:r>
      <w:r w:rsidRPr="00F52BDE">
        <w:rPr>
          <w:rFonts w:ascii="GHEA Grapalat" w:hAnsi="GHEA Grapalat"/>
          <w:lang w:val="hy-AM"/>
        </w:rPr>
        <w:t xml:space="preserve">տեղական ժողովրդավարության զարգացման, </w:t>
      </w:r>
      <w:r w:rsidRPr="0049372B">
        <w:rPr>
          <w:rFonts w:ascii="GHEA Grapalat" w:hAnsi="GHEA Grapalat"/>
          <w:lang w:val="hy-AM"/>
        </w:rPr>
        <w:t>տեղական ինքանակառավարման</w:t>
      </w:r>
      <w:r w:rsidRPr="00F52BDE">
        <w:rPr>
          <w:rFonts w:ascii="GHEA Grapalat" w:hAnsi="GHEA Grapalat"/>
          <w:lang w:val="hy-AM"/>
        </w:rPr>
        <w:t>ը բնակիչների մասնակցության, համայնքի ծրագրային և ֆինանսական կառավարման, ինչպես նաև համայնքը արտաքին աշխարհին ներկայացնելու գործող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</w:t>
      </w:r>
      <w:r w:rsidRPr="0049372B">
        <w:rPr>
          <w:rFonts w:ascii="GHEA Grapalat" w:hAnsi="GHEA Grapalat"/>
          <w:lang w:val="hy-AM"/>
        </w:rPr>
        <w:t>:</w:t>
      </w:r>
    </w:p>
    <w:p w:rsidR="00D21361" w:rsidRPr="00650D6E" w:rsidRDefault="00D21361" w:rsidP="00D21361">
      <w:p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 xml:space="preserve">Արմավիր  համայնքի ՏԱՊ-ը մշակվել է հետևյալ հիմնական նպատակներով՝ </w:t>
      </w:r>
    </w:p>
    <w:p w:rsidR="0049372B" w:rsidRPr="00650D6E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49372B">
        <w:rPr>
          <w:rFonts w:ascii="Sylfaen" w:hAnsi="Sylfaen"/>
          <w:color w:val="000000"/>
          <w:lang w:val="hy-AM"/>
        </w:rPr>
        <w:t>համակարգել համայնքապետարանի աշխատակազմի և ավագանու տվյալ տարվա անելիքները, պատասխանատուները և  ժամկետները: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շաղկապել նախատեսվող ծրագրերը և միջոցառումները դրանց իրականացման արդյունքների հետ</w:t>
      </w:r>
      <w:r w:rsidR="0049372B" w:rsidRPr="0049372B">
        <w:rPr>
          <w:rFonts w:ascii="Sylfaen" w:hAnsi="Sylfaen"/>
          <w:color w:val="000000"/>
          <w:lang w:val="hy-AM"/>
        </w:rPr>
        <w:t>: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lang w:val="hy-AM"/>
        </w:rPr>
      </w:pPr>
    </w:p>
    <w:p w:rsidR="00D21361" w:rsidRPr="00D06CB3" w:rsidRDefault="00D21361" w:rsidP="00D06CB3">
      <w:pPr>
        <w:pStyle w:val="1"/>
        <w:spacing w:before="0" w:line="20" w:lineRule="atLeast"/>
        <w:ind w:firstLine="360"/>
        <w:rPr>
          <w:rFonts w:ascii="Sylfaen" w:hAnsi="Sylfaen" w:cs="Arial"/>
          <w:color w:val="000000"/>
          <w:sz w:val="24"/>
          <w:szCs w:val="24"/>
          <w:lang w:val="hy-AM"/>
        </w:rPr>
      </w:pPr>
      <w:bookmarkStart w:id="1" w:name="_Toc500774759"/>
      <w:r w:rsidRPr="00D06CB3">
        <w:rPr>
          <w:rFonts w:ascii="Sylfaen" w:hAnsi="Sylfaen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D21361" w:rsidRPr="00650D6E" w:rsidRDefault="00D21361" w:rsidP="00D21361">
      <w:pPr>
        <w:spacing w:after="0" w:line="20" w:lineRule="atLeast"/>
        <w:jc w:val="both"/>
        <w:rPr>
          <w:rFonts w:ascii="Sylfaen" w:hAnsi="Sylfaen"/>
          <w:color w:val="000000"/>
          <w:sz w:val="12"/>
          <w:lang w:val="hy-AM"/>
        </w:rPr>
      </w:pPr>
    </w:p>
    <w:p w:rsidR="00D21361" w:rsidRPr="00650D6E" w:rsidRDefault="00D21361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Արմավիրը բարեկարգ  համայնք է՝ հագեցած ժամանակակից ենթակառուցվածքներով: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Քաղաքում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 համայնքի տեսլականն է՝ համայնքը դարձնել գյուղմթերքների վերամշակման և արդյունա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բերական տարածաշրջանային կենտրոն.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բ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նակչության համար բավարար կենսապայմաններ ունեցող գրավիչ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բարեկարգ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և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մաքուր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բնակավայր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ի ձևավորում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զարգացման հիմնական նպատակներն են՝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բնակչության գործազրկության մակարդակի նվազեցում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՝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խթանելով գյուղմթերքի վերամշակման և արդյունաբերական ձեռնարկությունների վերագործակցման հնարա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վ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որությունները: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Տեղական ինքնակառավարմանը բնակիչների մասնակցության ակտիվացում և բարելավում՝ համայնքնի ենթակառուցվ</w:t>
      </w:r>
      <w:r w:rsidR="00BF3F00">
        <w:rPr>
          <w:rFonts w:ascii="Sylfaen" w:eastAsia="Times New Roman" w:hAnsi="Sylfaen" w:cs="Sylfaen"/>
          <w:sz w:val="20"/>
          <w:szCs w:val="20"/>
          <w:lang w:val="hy-AM"/>
        </w:rPr>
        <w:t>ածքների  ընդլայնման և զարգացման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="00BF3F00" w:rsidRPr="00BF3F0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կարգի մշակման և ընդունման,մասնակցության մեթոդների և ձևերի աստիճանական զարգացման միջոցով:</w:t>
      </w:r>
    </w:p>
    <w:p w:rsidR="00F25CC0" w:rsidRPr="00650D6E" w:rsidRDefault="00F25CC0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/>
      </w:tblPr>
      <w:tblGrid>
        <w:gridCol w:w="10531"/>
      </w:tblGrid>
      <w:tr w:rsidR="00F25CC0" w:rsidRPr="008A6B0D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26232C" w:rsidRDefault="00F25CC0" w:rsidP="000F519A">
            <w:pPr>
              <w:spacing w:after="0" w:line="240" w:lineRule="auto"/>
              <w:ind w:firstLine="360"/>
              <w:rPr>
                <w:rFonts w:ascii="Sylfaen" w:hAnsi="Sylfaen"/>
                <w:b/>
                <w:bCs/>
                <w:i/>
                <w:lang w:val="hy-AM"/>
              </w:rPr>
            </w:pP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ՈՐՏԵՂԻ՞Ց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ԵՆ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ԳՈՅԱՆՈՒՄ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ՀԱՄԱՅՆՔԻ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ԲՅՈՒՋԵԻ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26232C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:rsidR="00F25CC0" w:rsidRPr="0026232C" w:rsidRDefault="0095651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  <w:r w:rsidRPr="00956510">
        <w:rPr>
          <w:rFonts w:ascii="Sylfaen" w:hAnsi="Sylfaen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F25CC0" w:rsidRPr="009A3B2D" w:rsidRDefault="00F25CC0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F25CC0" w:rsidRPr="00A60D05" w:rsidRDefault="003E3B1D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1162490,0 </w:t>
                  </w:r>
                  <w:r w:rsidR="00F25CC0" w:rsidRPr="00A60D05"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F25CC0" w:rsidRPr="0026232C">
                    <w:rPr>
                      <w:rFonts w:ascii="Sylfaen" w:hAnsi="Sylfaen"/>
                      <w:b/>
                      <w:sz w:val="24"/>
                    </w:rPr>
                    <w:t>հազար</w:t>
                  </w:r>
                  <w:proofErr w:type="spellEnd"/>
                  <w:r w:rsidR="00F25CC0" w:rsidRPr="0026232C">
                    <w:rPr>
                      <w:rFonts w:ascii="Sylfaen" w:hAnsi="Sylfaen"/>
                      <w:b/>
                      <w:sz w:val="24"/>
                    </w:rPr>
                    <w:t xml:space="preserve"> ՀՀ </w:t>
                  </w:r>
                  <w:proofErr w:type="spellStart"/>
                  <w:r w:rsidR="00F25CC0" w:rsidRPr="0026232C">
                    <w:rPr>
                      <w:rFonts w:ascii="Sylfaen" w:hAnsi="Sylfaen"/>
                      <w:b/>
                      <w:sz w:val="24"/>
                    </w:rPr>
                    <w:t>դրամ</w:t>
                  </w:r>
                  <w:proofErr w:type="spellEnd"/>
                </w:p>
                <w:p w:rsidR="00F25CC0" w:rsidRDefault="00F25CC0" w:rsidP="00F25CC0"/>
              </w:txbxContent>
            </v:textbox>
          </v:roundrect>
        </w:pict>
      </w:r>
      <w:r w:rsidRPr="00956510">
        <w:rPr>
          <w:rFonts w:ascii="Sylfaen" w:hAnsi="Sylfaen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F25CC0" w:rsidRPr="009A3B2D" w:rsidRDefault="00F25CC0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proofErr w:type="spellEnd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</w:t>
                  </w:r>
                  <w:r w:rsidR="00F46130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  <w:lang w:val="ru-RU"/>
                    </w:rPr>
                    <w:t>1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թ.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spellEnd"/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կանխատեսվող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մուտքերը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</w:p>
                <w:p w:rsidR="00F25CC0" w:rsidRPr="009A3B2D" w:rsidRDefault="00F25CC0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26232C" w:rsidRDefault="00F25CC0" w:rsidP="00F25CC0">
      <w:pPr>
        <w:pStyle w:val="a7"/>
        <w:jc w:val="left"/>
        <w:rPr>
          <w:rFonts w:ascii="Sylfaen" w:hAnsi="Sylfaen" w:cs="Sylfaen"/>
          <w:sz w:val="18"/>
          <w:szCs w:val="18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Cs w:val="24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 w:val="8"/>
          <w:szCs w:val="24"/>
          <w:lang w:val="hy-AM"/>
        </w:rPr>
      </w:pPr>
    </w:p>
    <w:p w:rsidR="00F25CC0" w:rsidRPr="0026232C" w:rsidRDefault="00F25CC0" w:rsidP="00F25CC0">
      <w:pPr>
        <w:pStyle w:val="a7"/>
        <w:jc w:val="right"/>
        <w:rPr>
          <w:rFonts w:ascii="Sylfaen" w:hAnsi="Sylfaen" w:cs="Arial"/>
          <w:b/>
          <w:bCs/>
          <w:sz w:val="14"/>
          <w:szCs w:val="24"/>
          <w:lang w:val="hy-AM"/>
        </w:rPr>
      </w:pP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0"/>
          <w:szCs w:val="24"/>
          <w:lang w:val="hy-AM"/>
        </w:rPr>
      </w:pPr>
      <w:r w:rsidRPr="0026232C">
        <w:rPr>
          <w:rFonts w:ascii="Sylfaen" w:hAnsi="Sylfaen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Սեփական եկամուտներ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>538506,0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Պետության կողմից պատվիրակված լիազորությունների համար միջոցները 7</w:t>
      </w:r>
      <w:r w:rsidR="0035585C">
        <w:rPr>
          <w:rFonts w:ascii="Sylfaen" w:hAnsi="Sylfaen" w:cs="Arial"/>
          <w:b/>
          <w:bCs/>
          <w:sz w:val="22"/>
          <w:szCs w:val="22"/>
          <w:lang w:val="hy-AM"/>
        </w:rPr>
        <w:t>473</w:t>
      </w:r>
      <w:r w:rsidR="0035585C" w:rsidRPr="0035585C">
        <w:rPr>
          <w:rFonts w:ascii="Sylfaen" w:hAnsi="Sylfaen" w:cs="Arial"/>
          <w:b/>
          <w:bCs/>
          <w:sz w:val="22"/>
          <w:szCs w:val="22"/>
          <w:lang w:val="hy-AM"/>
        </w:rPr>
        <w:t>,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0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Պետական բյուջեից տրվող պաշտոնական դրամաշնորհներ 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>616510,7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Գույքահարկեր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>277867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,0 հազար ՀՀ դրամ, որից 2000.0 հազար ՀՀ դրամ շենքերի և շինությունների գույքահարկ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Հողի հարկ 1000,0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Փոխադրամիջոցների գույքահարկ 12000,0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Ապրանքների օգտագործման կամ գործունեության իրականացման թույլտվության վճարների գծով՝ տեղական տուրքերը նախատեսվել է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 xml:space="preserve">25084,5 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Ապրանքների մատակարարումից և ծառայությունների մատուցումից  այլ պարտադիր վճարների գծով՝ պետական տուրք  նախատեսվել է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>20500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,0 հազար ՀՀ դրամ՝ հիմք նոտարի և ՔԿԱԳ-ի կողմից տարված կանխատեսման հաշվարկները:</w:t>
      </w:r>
    </w:p>
    <w:p w:rsidR="00F25CC0" w:rsidRPr="00F25CC0" w:rsidRDefault="0008189C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Պաշտոնական դրամաշնորհի գծով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>616510,7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դրամ,որից համահարթեցման դոտացիա</w:t>
      </w:r>
      <w:r w:rsidRPr="0008189C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3E3B1D" w:rsidRPr="003E3B1D">
        <w:rPr>
          <w:rFonts w:ascii="Sylfaen" w:hAnsi="Sylfaen" w:cs="Arial"/>
          <w:b/>
          <w:bCs/>
          <w:sz w:val="22"/>
          <w:szCs w:val="22"/>
          <w:lang w:val="hy-AM"/>
        </w:rPr>
        <w:t>612543,3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դրամ՝ հիմք « 202</w:t>
      </w:r>
      <w:r w:rsidR="00545B29" w:rsidRPr="00545B29">
        <w:rPr>
          <w:rFonts w:ascii="Sylfaen" w:hAnsi="Sylfaen" w:cs="Arial"/>
          <w:b/>
          <w:bCs/>
          <w:sz w:val="22"/>
          <w:szCs w:val="22"/>
          <w:lang w:val="hy-AM"/>
        </w:rPr>
        <w:t>1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>թ պետական բյուջեի մասին» ՀՀ օրենքը և նպատակայի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ն հատկացումներ/ սուբվենցիաներ/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>3967.4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Այլ եկամուտների գծով նախատեսվել է </w:t>
      </w:r>
      <w:r w:rsidR="00545B29" w:rsidRPr="00242A7A">
        <w:rPr>
          <w:rFonts w:ascii="Sylfaen" w:hAnsi="Sylfaen" w:cs="Arial"/>
          <w:b/>
          <w:bCs/>
          <w:sz w:val="22"/>
          <w:szCs w:val="22"/>
          <w:lang w:val="hy-AM"/>
        </w:rPr>
        <w:t>222527,8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D21361" w:rsidRPr="00F019EC" w:rsidRDefault="00D21361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AE29CF" w:rsidRDefault="00EA215D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B9159D" w:rsidRPr="0049372B" w:rsidRDefault="00B9159D" w:rsidP="00B9159D">
      <w:pPr>
        <w:rPr>
          <w:rFonts w:ascii="GHEA Grapalat" w:hAnsi="GHEA Grapalat"/>
          <w:b/>
          <w:sz w:val="16"/>
          <w:szCs w:val="16"/>
          <w:lang w:val="hy-AM"/>
        </w:rPr>
      </w:pPr>
    </w:p>
    <w:p w:rsidR="00EA215D" w:rsidRPr="00F019EC" w:rsidRDefault="00EA215D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019EC">
        <w:rPr>
          <w:rFonts w:ascii="GHEA Grapalat" w:hAnsi="GHEA Grapalat"/>
          <w:b/>
          <w:sz w:val="32"/>
          <w:szCs w:val="32"/>
          <w:lang w:val="hy-AM"/>
        </w:rPr>
        <w:lastRenderedPageBreak/>
        <w:t>ՀԱՄԱՅՆՔԱՊԵՏԱՐԱՆԻ ԱՇԽԱՏԱԿԱԶՄԻ ԵՎ ԱՎԱԳԱՆՈՒ ԱՇԽԱՏԱՆՔԱՅԻՆ ԾՐԱԳԻՐ</w:t>
      </w:r>
    </w:p>
    <w:tbl>
      <w:tblPr>
        <w:tblStyle w:val="ab"/>
        <w:tblW w:w="0" w:type="auto"/>
        <w:tblLook w:val="04A0"/>
      </w:tblPr>
      <w:tblGrid>
        <w:gridCol w:w="459"/>
        <w:gridCol w:w="3287"/>
        <w:gridCol w:w="2230"/>
        <w:gridCol w:w="3206"/>
        <w:gridCol w:w="1663"/>
      </w:tblGrid>
      <w:tr w:rsidR="00082647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</w:t>
            </w:r>
          </w:p>
        </w:tc>
        <w:tc>
          <w:tcPr>
            <w:tcW w:w="3122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Ավագանու նիստերի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 և անցկացում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՝ ավագանու կանոնակարգին համաձայն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Յուրաքանչյուր ամսվա վերջին ուրբաթ օրը</w:t>
            </w:r>
            <w:r w:rsidR="00B9159D">
              <w:rPr>
                <w:rFonts w:ascii="GHEA Grapalat" w:hAnsi="GHEA Grapalat"/>
                <w:sz w:val="24"/>
                <w:szCs w:val="24"/>
                <w:lang w:val="ru-RU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0835A2" w:rsidRPr="00132448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 բաժին</w:t>
            </w:r>
          </w:p>
          <w:p w:rsidR="00B3623E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 և աշխատակազմի քարտուղարի կողմից քաղաքացիների 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606C79" w:rsidRDefault="006D6113" w:rsidP="00F46130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Յուրաքանչյուր շաբաթվա երեքշաբթի օրը, ժամը 14:00-16:00</w:t>
            </w:r>
            <w:r w:rsidR="00F4613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5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 բաժին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5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Համայնքային ծառայության մասին ՀՀ 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 ամիսը մեկ անգամ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պետեր, կադրերի պատասխանատու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6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Համապատասխան բաժիններ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8</w:t>
            </w:r>
          </w:p>
        </w:tc>
        <w:tc>
          <w:tcPr>
            <w:tcW w:w="3122" w:type="dxa"/>
          </w:tcPr>
          <w:p w:rsidR="00984F35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0835A2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 բաժին</w:t>
            </w:r>
          </w:p>
        </w:tc>
        <w:tc>
          <w:tcPr>
            <w:tcW w:w="2110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</w:tc>
      </w:tr>
      <w:tr w:rsidR="000835A2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606C79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0835A2" w:rsidRPr="00F019EC" w:rsidTr="00082647">
        <w:tc>
          <w:tcPr>
            <w:tcW w:w="446" w:type="dxa"/>
          </w:tcPr>
          <w:p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606C79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:rsidR="00984F35" w:rsidRPr="00606C79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 բաժին</w:t>
            </w:r>
          </w:p>
        </w:tc>
        <w:tc>
          <w:tcPr>
            <w:tcW w:w="2110" w:type="dxa"/>
          </w:tcPr>
          <w:p w:rsidR="00984F35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</w:tc>
      </w:tr>
      <w:tr w:rsidR="000835A2" w:rsidRPr="00132448" w:rsidTr="00082647">
        <w:tc>
          <w:tcPr>
            <w:tcW w:w="446" w:type="dxa"/>
          </w:tcPr>
          <w:p w:rsidR="00984F35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12</w:t>
            </w:r>
          </w:p>
        </w:tc>
        <w:tc>
          <w:tcPr>
            <w:tcW w:w="3122" w:type="dxa"/>
          </w:tcPr>
          <w:p w:rsidR="00F019EC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Համայնքապետարանի աշխատակազմի կարիքների համար գնումների գործընթացի կազմակերպում</w:t>
            </w:r>
          </w:p>
        </w:tc>
        <w:tc>
          <w:tcPr>
            <w:tcW w:w="2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984F35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Վ. Սարգսյան</w:t>
            </w:r>
          </w:p>
          <w:p w:rsidR="00132448" w:rsidRPr="00606C79" w:rsidRDefault="00F46130" w:rsidP="00F46130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Համբար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յան</w:t>
            </w:r>
          </w:p>
        </w:tc>
      </w:tr>
      <w:tr w:rsidR="000835A2" w:rsidRPr="00132448" w:rsidTr="00082647">
        <w:tc>
          <w:tcPr>
            <w:tcW w:w="446" w:type="dxa"/>
          </w:tcPr>
          <w:p w:rsidR="00D06CB3" w:rsidRPr="00D06CB3" w:rsidRDefault="00D06CB3" w:rsidP="00D06CB3">
            <w:pPr>
              <w:ind w:left="-142"/>
              <w:jc w:val="center"/>
              <w:rPr>
                <w:lang w:val="ru-RU"/>
              </w:rPr>
            </w:pPr>
          </w:p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13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85995">
              <w:rPr>
                <w:rFonts w:ascii="GHEA Grapalat" w:hAnsi="GHEA Grapalat" w:cs="Sylfaen"/>
                <w:lang w:val="hy-AM"/>
              </w:rPr>
              <w:t>Աշխատակազմի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ֆինան</w:t>
            </w:r>
            <w:r w:rsidRPr="00D85995">
              <w:rPr>
                <w:rFonts w:ascii="GHEA Grapalat" w:hAnsi="GHEA Grapalat" w:cs="Arial Armenian"/>
                <w:lang w:val="hy-AM"/>
              </w:rPr>
              <w:t>u</w:t>
            </w:r>
            <w:r w:rsidRPr="00D85995">
              <w:rPr>
                <w:rFonts w:ascii="GHEA Grapalat" w:hAnsi="GHEA Grapalat" w:cs="Sylfaen"/>
                <w:lang w:val="hy-AM"/>
              </w:rPr>
              <w:t>ական</w:t>
            </w:r>
            <w:r w:rsidRPr="00D85995">
              <w:rPr>
                <w:rFonts w:ascii="GHEA Grapalat" w:hAnsi="GHEA Grapalat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և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հաշվապահական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ծառայություններ</w:t>
            </w:r>
            <w:r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Գրիգորյան</w:t>
            </w:r>
          </w:p>
        </w:tc>
      </w:tr>
      <w:tr w:rsidR="000835A2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14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Գ</w:t>
            </w:r>
            <w:r w:rsidRPr="0057359F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</w:t>
            </w:r>
            <w:r w:rsidRPr="00C94ED8">
              <w:rPr>
                <w:rFonts w:ascii="GHEA Grapalat" w:hAnsi="GHEA Grapalat" w:cs="Sylfaen"/>
                <w:lang w:val="hy-AM"/>
              </w:rPr>
              <w:t>ի կազմակերպում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Գույքահարկի հաշվառման, սպասարկման և գանձման բաժին</w:t>
            </w:r>
          </w:p>
        </w:tc>
        <w:tc>
          <w:tcPr>
            <w:tcW w:w="2110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Տիգրանյան</w:t>
            </w:r>
          </w:p>
        </w:tc>
      </w:tr>
      <w:tr w:rsidR="000835A2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15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C94ED8" w:rsidRPr="00C94ED8" w:rsidRDefault="00C94ED8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>Ք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աղաքաշինության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եվ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բնակարանային</w:t>
            </w:r>
            <w:proofErr w:type="spellEnd"/>
          </w:p>
          <w:p w:rsidR="00B9159D" w:rsidRPr="00C94ED8" w:rsidRDefault="00C94ED8" w:rsidP="00C94ED8">
            <w:pPr>
              <w:rPr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կոմունալ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հարցերի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բաժինը</w:t>
            </w:r>
            <w:proofErr w:type="spellEnd"/>
          </w:p>
        </w:tc>
        <w:tc>
          <w:tcPr>
            <w:tcW w:w="2110" w:type="dxa"/>
          </w:tcPr>
          <w:p w:rsidR="00B9159D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  <w:p w:rsid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RPr="00C94ED8" w:rsidTr="00082647">
        <w:tc>
          <w:tcPr>
            <w:tcW w:w="446" w:type="dxa"/>
          </w:tcPr>
          <w:p w:rsidR="00C94ED8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603E19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տարածքում ոգելից խմիչքների և ծխախոտի արտադրանքի վաճառքի, արտաքին գովազդի տեղադրման մանրածախ և բացօթյա վաճառքի և այլ 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թույտվությունների տրամադրման ապահովում:</w:t>
            </w:r>
          </w:p>
          <w:p w:rsidR="0094511A" w:rsidRPr="00603E19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C94ED8" w:rsidRPr="00C94ED8" w:rsidRDefault="00C94ED8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Բյուջետային մուտքերի ապահովման և տրանսպորտի վերահսկողության բաժին</w:t>
            </w:r>
          </w:p>
        </w:tc>
        <w:tc>
          <w:tcPr>
            <w:tcW w:w="2110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Ստեփանյան</w:t>
            </w:r>
          </w:p>
        </w:tc>
      </w:tr>
      <w:tr w:rsidR="000835A2" w:rsidRPr="008A6B0D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17</w:t>
            </w:r>
          </w:p>
        </w:tc>
        <w:tc>
          <w:tcPr>
            <w:tcW w:w="3122" w:type="dxa"/>
          </w:tcPr>
          <w:p w:rsidR="00603E19" w:rsidRPr="00603E19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lang w:val="hy-AM"/>
              </w:rPr>
              <w:t xml:space="preserve">Համայնքի կողմից իրականացվող ծրագրերի(սուբվենցիոն և այլ) </w:t>
            </w:r>
            <w:r>
              <w:rPr>
                <w:rFonts w:ascii="GHEA Grapalat" w:hAnsi="GHEA Grapalat"/>
                <w:lang w:val="hy-AM"/>
              </w:rPr>
              <w:t>աշխատանքների</w:t>
            </w:r>
            <w:r w:rsidRPr="00603E19">
              <w:rPr>
                <w:rFonts w:ascii="GHEA Grapalat" w:hAnsi="GHEA Grapalat"/>
                <w:lang w:val="hy-AM"/>
              </w:rPr>
              <w:t xml:space="preserve"> կազմակերպում:</w:t>
            </w:r>
          </w:p>
        </w:tc>
        <w:tc>
          <w:tcPr>
            <w:tcW w:w="2122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C94ED8" w:rsidRDefault="00603E19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Խ. Մկրտչյան</w:t>
            </w:r>
          </w:p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  <w:p w:rsidR="00603E19" w:rsidRPr="00FE31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Ա. </w:t>
            </w:r>
            <w:r w:rsidRPr="00FE3119">
              <w:rPr>
                <w:rFonts w:ascii="GHEA Grapalat" w:hAnsi="GHEA Grapalat"/>
                <w:sz w:val="24"/>
                <w:szCs w:val="24"/>
                <w:lang w:val="hy-AM"/>
              </w:rPr>
              <w:t>Գրիգորյան</w:t>
            </w:r>
          </w:p>
          <w:p w:rsidR="00603E19" w:rsidRPr="00FE31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835A2" w:rsidRPr="00603E19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037BD4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8600B7">
              <w:rPr>
                <w:rFonts w:ascii="GHEA Grapalat" w:hAnsi="GHEA Grapalat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037BD4">
              <w:rPr>
                <w:rFonts w:ascii="GHEA Grapalat" w:hAnsi="GHEA Grapalat"/>
                <w:lang w:val="hy-AM"/>
              </w:rPr>
              <w:t>գործընթացներ</w:t>
            </w:r>
            <w:r w:rsidR="000835A2" w:rsidRPr="000835A2">
              <w:rPr>
                <w:rFonts w:ascii="GHEA Grapalat" w:hAnsi="GHEA Grapalat"/>
                <w:lang w:val="hy-AM"/>
              </w:rPr>
              <w:t>ում օրանականության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 ապահովում:</w:t>
            </w:r>
          </w:p>
        </w:tc>
        <w:tc>
          <w:tcPr>
            <w:tcW w:w="2122" w:type="dxa"/>
          </w:tcPr>
          <w:p w:rsidR="00603E19" w:rsidRPr="000835A2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0835A2" w:rsidRDefault="00037BD4" w:rsidP="000F519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0835A2" w:rsidRPr="00603E19" w:rsidTr="00082647">
        <w:tc>
          <w:tcPr>
            <w:tcW w:w="446" w:type="dxa"/>
          </w:tcPr>
          <w:p w:rsidR="008600B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19</w:t>
            </w:r>
          </w:p>
        </w:tc>
        <w:tc>
          <w:tcPr>
            <w:tcW w:w="3122" w:type="dxa"/>
          </w:tcPr>
          <w:p w:rsidR="008600B7" w:rsidRPr="00037BD4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037BD4">
              <w:rPr>
                <w:rFonts w:ascii="GHEA Grapalat" w:hAnsi="GHEA Grapalat"/>
                <w:color w:val="00000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lang w:val="hy-AM"/>
              </w:rPr>
              <w:t>ամայնքի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>տարածքում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ն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ախադպրոցական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 xml:space="preserve">կրթության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և արտադպրոցական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դաստիարակության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իրականացում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2122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8600B7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37BD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եվ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37BD4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Դոլինյան</w:t>
            </w:r>
          </w:p>
        </w:tc>
      </w:tr>
      <w:tr w:rsidR="00082647" w:rsidRPr="00603E19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20</w:t>
            </w:r>
          </w:p>
        </w:tc>
        <w:tc>
          <w:tcPr>
            <w:tcW w:w="3122" w:type="dxa"/>
          </w:tcPr>
          <w:p w:rsidR="00082647" w:rsidRPr="00082647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082647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Ռ. Պողոսյան</w:t>
            </w:r>
          </w:p>
        </w:tc>
      </w:tr>
      <w:tr w:rsidR="00082647" w:rsidRPr="008A6B0D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082647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FE3119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082647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3542" w:rsidRPr="00603E19" w:rsidTr="00082647">
        <w:tc>
          <w:tcPr>
            <w:tcW w:w="446" w:type="dxa"/>
          </w:tcPr>
          <w:p w:rsidR="00503542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FE3119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503542">
              <w:rPr>
                <w:rFonts w:ascii="GHEA Grapalat" w:hAnsi="GHEA Grapalat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503542" w:rsidRPr="00503542" w:rsidRDefault="00503542" w:rsidP="000F519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</w:tr>
      <w:tr w:rsidR="00FE3119" w:rsidRPr="00082647" w:rsidTr="00FE3119">
        <w:tc>
          <w:tcPr>
            <w:tcW w:w="446" w:type="dxa"/>
          </w:tcPr>
          <w:p w:rsidR="00FE31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23</w:t>
            </w:r>
          </w:p>
        </w:tc>
        <w:tc>
          <w:tcPr>
            <w:tcW w:w="3122" w:type="dxa"/>
          </w:tcPr>
          <w:p w:rsidR="00FE3119" w:rsidRPr="00082647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E3119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ականացում</w:t>
            </w:r>
          </w:p>
        </w:tc>
        <w:tc>
          <w:tcPr>
            <w:tcW w:w="2122" w:type="dxa"/>
          </w:tcPr>
          <w:p w:rsid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1A7398" w:rsidRPr="00082647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082647" w:rsidRDefault="00FE3119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ՔԿԱԳ բաժին</w:t>
            </w:r>
          </w:p>
        </w:tc>
        <w:tc>
          <w:tcPr>
            <w:tcW w:w="2110" w:type="dxa"/>
          </w:tcPr>
          <w:p w:rsidR="00FE3119" w:rsidRP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Դ. Մուրադյան</w:t>
            </w:r>
          </w:p>
        </w:tc>
      </w:tr>
    </w:tbl>
    <w:p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145213" w:rsidRDefault="00145213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Աղյուսակ 2.Համայնքի ոլորտային նպատակները</w:t>
      </w:r>
    </w:p>
    <w:p w:rsidR="00145213" w:rsidRPr="00603E19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145213" w:rsidRPr="00FE3119" w:rsidTr="000F519A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145213" w:rsidRPr="00145213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145213" w:rsidRPr="00145213" w:rsidRDefault="00145213" w:rsidP="0014521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</w:p>
        </w:tc>
      </w:tr>
      <w:tr w:rsidR="00145213" w:rsidRPr="00FE3119" w:rsidTr="00145213">
        <w:trPr>
          <w:trHeight w:val="288"/>
        </w:trPr>
        <w:tc>
          <w:tcPr>
            <w:tcW w:w="5954" w:type="dxa"/>
            <w:shd w:val="clear" w:color="auto" w:fill="FFFFFF"/>
          </w:tcPr>
          <w:p w:rsidR="00145213" w:rsidRPr="00AB506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45213" w:rsidTr="000F519A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14521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145213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AB5063" w:rsidRPr="00AB5063" w:rsidRDefault="00AB5063" w:rsidP="0014521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AB5063" w:rsidRDefault="00AB5063" w:rsidP="00937448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կազմում, </w:t>
            </w:r>
          </w:p>
        </w:tc>
      </w:tr>
      <w:tr w:rsidR="00AB506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937448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8A6B0D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650D6E" w:rsidRDefault="00145213" w:rsidP="00F46130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</w:t>
            </w:r>
            <w:r w:rsidR="00F46130" w:rsidRPr="00F46130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Արմավիրի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համայնքապետարանի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ղեկավար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կազմի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աշխատակազմի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մասնագետների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ինչպես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նաև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ենթակա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կառույցների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մասնակցությունը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Արտակարգ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իրավիճակների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նախարարության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&lt;&lt;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Ճգնաժամային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կառավարման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պետական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ակադեմիա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&gt;&gt; ՊՈԱԿ-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կազմակերպված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դասաընթացներին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A025B0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8A6B0D" w:rsidTr="00145213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145213" w:rsidRPr="00650D6E" w:rsidRDefault="00145213" w:rsidP="000F519A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5213" w:rsidRPr="00650D6E" w:rsidRDefault="00145213" w:rsidP="00AB5063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8A6B0D" w:rsidTr="000F519A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7448" w:rsidRPr="00AB5063" w:rsidRDefault="00937448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45213" w:rsidRPr="00650D6E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8A6B0D" w:rsidTr="000F519A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AB5063" w:rsidRPr="00AB5063" w:rsidRDefault="00AB5063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AB506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0F519A">
            <w:pPr>
              <w:spacing w:after="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</w:p>
        </w:tc>
      </w:tr>
      <w:tr w:rsidR="00145213" w:rsidRPr="008A6B0D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3E3B1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8A6B0D" w:rsidTr="000F519A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</w:t>
            </w:r>
          </w:p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Գրադարանից օգտվողների թվի տարեկան աճը ,</w:t>
            </w:r>
          </w:p>
          <w:p w:rsidR="00937448" w:rsidRPr="00650D6E" w:rsidRDefault="00937448" w:rsidP="00AB5063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</w:p>
        </w:tc>
      </w:tr>
      <w:tr w:rsidR="00145213" w:rsidRPr="008A6B0D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3E3B1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Ֆիզիկական կուլտուրա և 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8A6B0D" w:rsidTr="000F519A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Մարզական խմբակներում ընդգրկված երեխաների թվի տեսակարար կշիռը համապատասխան տարիքի երեխաների թվի կազմում, </w:t>
            </w:r>
          </w:p>
          <w:p w:rsidR="00AB5063" w:rsidRPr="00650D6E" w:rsidRDefault="00AB506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</w:p>
        </w:tc>
      </w:tr>
      <w:tr w:rsidR="00145213" w:rsidRPr="00650D6E" w:rsidTr="00145213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145213" w:rsidRPr="0049372B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F46130" w:rsidTr="00145213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145213" w:rsidRPr="00F46130" w:rsidRDefault="00145213" w:rsidP="00F461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Օգնել համայնքի կարիքավոր,</w:t>
            </w:r>
            <w:r w:rsidRPr="00650D6E">
              <w:rPr>
                <w:rFonts w:ascii="Sylfaen" w:hAnsi="Sylfaen"/>
              </w:rPr>
              <w:t xml:space="preserve"> 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 w:rsidR="00F46130">
              <w:rPr>
                <w:rFonts w:ascii="Sylfaen" w:hAnsi="Sylfaen"/>
                <w:sz w:val="20"/>
                <w:szCs w:val="20"/>
                <w:lang w:val="ru-RU"/>
              </w:rPr>
              <w:t>ների</w:t>
            </w:r>
            <w:r w:rsidR="00F46130" w:rsidRPr="00F4613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 w:rsidR="00F46130">
              <w:rPr>
                <w:rFonts w:ascii="Sylfaen" w:hAnsi="Sylfaen"/>
                <w:sz w:val="20"/>
                <w:szCs w:val="20"/>
                <w:lang w:val="ru-RU"/>
              </w:rPr>
              <w:t>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46130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="00F46130" w:rsidRPr="00F4613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46130">
              <w:rPr>
                <w:rFonts w:ascii="Sylfaen" w:hAnsi="Sylfaen"/>
                <w:sz w:val="20"/>
                <w:szCs w:val="20"/>
                <w:lang w:val="ru-RU"/>
              </w:rPr>
              <w:t>անհետ</w:t>
            </w:r>
            <w:r w:rsidR="00F46130" w:rsidRPr="00F4613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46130">
              <w:rPr>
                <w:rFonts w:ascii="Sylfaen" w:hAnsi="Sylfaen"/>
                <w:sz w:val="20"/>
                <w:szCs w:val="20"/>
                <w:lang w:val="ru-RU"/>
              </w:rPr>
              <w:t>կորածների</w:t>
            </w:r>
            <w:r w:rsidR="00F46130" w:rsidRPr="00F4613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ընտանիքներին՝ բարելավել նրանց  սոցիալական վիճակը</w:t>
            </w:r>
            <w:r w:rsidR="00F46130" w:rsidRPr="00F4613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</w:tr>
      <w:tr w:rsidR="00145213" w:rsidRPr="00F46130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08189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lastRenderedPageBreak/>
              <w:t>Ոլորտ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3E3B1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8A6B0D" w:rsidTr="00145213">
        <w:trPr>
          <w:trHeight w:val="274"/>
        </w:trPr>
        <w:tc>
          <w:tcPr>
            <w:tcW w:w="5954" w:type="dxa"/>
          </w:tcPr>
          <w:p w:rsidR="00145213" w:rsidRPr="00AB5063" w:rsidRDefault="00145213" w:rsidP="00F46130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F46130" w:rsidRPr="00F46130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1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AB5063"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vAlign w:val="center"/>
          </w:tcPr>
          <w:p w:rsidR="00145213" w:rsidRPr="00D8581A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հանրային քննարկումներ, բաց լսումներ, ընդունելությունների կազմակերպում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 ինչպես նաև ավագանու նիստերին բնակիչների մասնակցություն</w:t>
            </w:r>
          </w:p>
        </w:tc>
      </w:tr>
    </w:tbl>
    <w:p w:rsidR="00145213" w:rsidRPr="00650D6E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145213" w:rsidRPr="00132448" w:rsidRDefault="00145213" w:rsidP="00D21361">
      <w:pPr>
        <w:rPr>
          <w:lang w:val="hy-AM"/>
        </w:rPr>
      </w:pPr>
    </w:p>
    <w:p w:rsidR="00AF3872" w:rsidRPr="00132448" w:rsidRDefault="00AF3872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AF3872" w:rsidRPr="0008189C" w:rsidRDefault="00AF3872" w:rsidP="00AF387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>Աղյուսակ 3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650D6E" w:rsidRDefault="00AF3872" w:rsidP="00AF387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804"/>
        <w:gridCol w:w="1842"/>
        <w:gridCol w:w="1985"/>
      </w:tblGrid>
      <w:tr w:rsidR="001E4685" w:rsidRPr="00650D6E" w:rsidTr="001E4685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1E4685" w:rsidRPr="001E4685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E4685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AE29CF" w:rsidTr="001E4685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 xml:space="preserve">Ընդհանուր բնույթի այլ ծառայություններ </w:t>
            </w:r>
            <w:r w:rsidR="00242A7A">
              <w:rPr>
                <w:rFonts w:ascii="GHEA Grapalat" w:hAnsi="GHEA Grapalat"/>
                <w:sz w:val="20"/>
                <w:szCs w:val="20"/>
                <w:lang w:val="ru-RU"/>
              </w:rPr>
              <w:t xml:space="preserve">ՔԿԱԳ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այլ ծառայություններ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հանրային ծառայություններ ծրագիր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003648" w:rsidRDefault="00242A7A" w:rsidP="0000364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152028,0</w:t>
            </w:r>
          </w:p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  <w:r w:rsidRPr="00003648">
              <w:rPr>
                <w:lang w:val="ru-RU"/>
              </w:rPr>
              <w:t>7</w:t>
            </w:r>
            <w:r w:rsidR="00242A7A">
              <w:rPr>
                <w:lang w:val="ru-RU"/>
              </w:rPr>
              <w:t>473</w:t>
            </w:r>
            <w:r w:rsidRPr="00003648">
              <w:rPr>
                <w:lang w:val="ru-RU"/>
              </w:rPr>
              <w:t>,0</w:t>
            </w:r>
          </w:p>
          <w:p w:rsidR="001E4685" w:rsidRPr="00003648" w:rsidRDefault="00242A7A" w:rsidP="0000364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7345,6</w:t>
            </w:r>
          </w:p>
          <w:p w:rsidR="001E4685" w:rsidRPr="00003648" w:rsidRDefault="00242A7A" w:rsidP="0000364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10050,0</w:t>
            </w:r>
          </w:p>
        </w:tc>
        <w:tc>
          <w:tcPr>
            <w:tcW w:w="1985" w:type="dxa"/>
            <w:shd w:val="clear" w:color="auto" w:fill="FFFFFF"/>
          </w:tcPr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E4685" w:rsidRPr="00650D6E" w:rsidTr="001E4685">
        <w:trPr>
          <w:cantSplit/>
          <w:trHeight w:val="135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176896,9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CC34D4" w:rsidRDefault="001E4685" w:rsidP="00CC34D4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45412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160580,4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213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454128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160580,4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5140,0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6606B" w:rsidRDefault="00242A7A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35134,0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trHeight w:val="206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6606B" w:rsidRDefault="00242A7A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40274,0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5A5AEF" w:rsidRDefault="001E4685" w:rsidP="005A5AE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ն</w:t>
            </w:r>
            <w:proofErr w:type="spellStart"/>
            <w:r w:rsidRPr="00650D6E">
              <w:rPr>
                <w:rFonts w:ascii="Sylfaen" w:hAnsi="Sylfaen" w:cs="Arial"/>
                <w:sz w:val="20"/>
                <w:szCs w:val="20"/>
              </w:rPr>
              <w:t>շագծում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0D5E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24391,0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22607,2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A5AEF" w:rsidRPr="00650D6E" w:rsidTr="001E4685">
        <w:tc>
          <w:tcPr>
            <w:tcW w:w="541" w:type="dxa"/>
            <w:shd w:val="clear" w:color="auto" w:fill="FFFFFF"/>
            <w:vAlign w:val="center"/>
          </w:tcPr>
          <w:p w:rsidR="005A5AEF" w:rsidRDefault="005A5AEF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A5AEF" w:rsidRDefault="005A5AEF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Տնտեսական հարաբերություններ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5AEF" w:rsidRDefault="005A5AEF" w:rsidP="00242A7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="00242A7A">
              <w:rPr>
                <w:rFonts w:ascii="Sylfaen" w:hAnsi="Sylfaen"/>
                <w:sz w:val="20"/>
                <w:szCs w:val="20"/>
                <w:lang w:val="ru-RU"/>
              </w:rPr>
              <w:t>50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00,0</w:t>
            </w:r>
          </w:p>
        </w:tc>
        <w:tc>
          <w:tcPr>
            <w:tcW w:w="1985" w:type="dxa"/>
            <w:shd w:val="clear" w:color="auto" w:fill="FFFFFF"/>
          </w:tcPr>
          <w:p w:rsidR="005A5AEF" w:rsidRDefault="005A5AE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0D5E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41998,2</w:t>
            </w:r>
          </w:p>
        </w:tc>
        <w:tc>
          <w:tcPr>
            <w:tcW w:w="1985" w:type="dxa"/>
            <w:shd w:val="clear" w:color="auto" w:fill="FFFFFF"/>
          </w:tcPr>
          <w:p w:rsidR="001E4685" w:rsidRPr="00606070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01D2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կրթությ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ն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կազմակերպում</w:t>
            </w:r>
            <w:proofErr w:type="spellEnd"/>
          </w:p>
          <w:p w:rsidR="001E4685" w:rsidRPr="00650D6E" w:rsidRDefault="001E4685" w:rsidP="00101D2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01D2B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438046,1</w:t>
            </w:r>
          </w:p>
          <w:p w:rsidR="001E4685" w:rsidRPr="00101D2B" w:rsidRDefault="008A328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141631,5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01D2B" w:rsidRDefault="00242A7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579677,6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ակումբներ, կենտրոններ ծրագրով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Pr="007428E4">
              <w:rPr>
                <w:rFonts w:ascii="Sylfaen" w:hAnsi="Sylfaen"/>
                <w:sz w:val="20"/>
                <w:szCs w:val="20"/>
                <w:lang w:val="hy-AM"/>
              </w:rPr>
              <w:t>13219,5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Pr="007428E4">
              <w:rPr>
                <w:rFonts w:ascii="Sylfaen" w:hAnsi="Sylfaen"/>
                <w:sz w:val="20"/>
                <w:szCs w:val="20"/>
                <w:lang w:val="hy-AM"/>
              </w:rPr>
              <w:t>5575,0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8A328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21204,5</w:t>
            </w:r>
          </w:p>
          <w:p w:rsidR="001E4685" w:rsidRPr="003C09AF" w:rsidRDefault="008A328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21887,1</w:t>
            </w:r>
          </w:p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7428E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7428E4" w:rsidRDefault="001E4685" w:rsidP="008A328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244</w:t>
            </w:r>
            <w:r w:rsidR="008A328C">
              <w:rPr>
                <w:rFonts w:ascii="Sylfaen" w:hAnsi="Sylfaen"/>
                <w:sz w:val="20"/>
                <w:szCs w:val="20"/>
                <w:lang w:val="ru-RU"/>
              </w:rPr>
              <w:t>16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="008A328C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8A328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67508,4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3C09AF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3C09AF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 10000-ական դրամ</w:t>
            </w:r>
          </w:p>
          <w:p w:rsidR="001E4685" w:rsidRPr="003C09AF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Համայնքապետի որոշումներով 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ներ: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Օգնություններ ավագանու որոշումներով</w:t>
            </w:r>
          </w:p>
          <w:p w:rsidR="001E4685" w:rsidRPr="001324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8A328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8150,0</w:t>
            </w:r>
          </w:p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3C09A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8A328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8150,0</w:t>
            </w: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4685" w:rsidRPr="00650D6E" w:rsidTr="001E4685">
        <w:trPr>
          <w:trHeight w:val="286"/>
        </w:trPr>
        <w:tc>
          <w:tcPr>
            <w:tcW w:w="9187" w:type="dxa"/>
            <w:gridSpan w:val="3"/>
            <w:shd w:val="clear" w:color="auto" w:fill="E1EBF7"/>
          </w:tcPr>
          <w:p w:rsidR="001E4685" w:rsidRPr="00003648" w:rsidRDefault="001E4685" w:rsidP="00003648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85" w:type="dxa"/>
            <w:shd w:val="clear" w:color="auto" w:fill="E1EBF7"/>
          </w:tcPr>
          <w:p w:rsidR="001E4685" w:rsidRPr="00003648" w:rsidRDefault="00F25CC0" w:rsidP="00003648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vAlign w:val="center"/>
          </w:tcPr>
          <w:p w:rsidR="001E4685" w:rsidRPr="001E4685" w:rsidRDefault="001E4685" w:rsidP="001E4685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1,</w:t>
            </w:r>
          </w:p>
        </w:tc>
        <w:tc>
          <w:tcPr>
            <w:tcW w:w="6804" w:type="dxa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842" w:type="dxa"/>
            <w:vAlign w:val="center"/>
          </w:tcPr>
          <w:p w:rsidR="001E4685" w:rsidRPr="003C09AF" w:rsidRDefault="008A328C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94404,5</w:t>
            </w:r>
          </w:p>
        </w:tc>
        <w:tc>
          <w:tcPr>
            <w:tcW w:w="1985" w:type="dxa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8A328C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94404,5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F3872" w:rsidRDefault="00AF3872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F46130" w:rsidRDefault="00F46130" w:rsidP="00D21361">
      <w:pPr>
        <w:rPr>
          <w:rFonts w:ascii="Sylfaen" w:hAnsi="Sylfaen"/>
          <w:color w:val="000000"/>
          <w:lang w:val="ru-RU"/>
        </w:rPr>
      </w:pPr>
    </w:p>
    <w:p w:rsidR="00092F40" w:rsidRPr="00092F40" w:rsidRDefault="00092F40" w:rsidP="00D21361">
      <w:pPr>
        <w:rPr>
          <w:lang w:val="ru-RU"/>
        </w:rPr>
      </w:pPr>
    </w:p>
    <w:p w:rsidR="008A6B0D" w:rsidRDefault="008A6B0D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</w:rPr>
      </w:pPr>
    </w:p>
    <w:p w:rsidR="008A6B0D" w:rsidRDefault="008A6B0D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</w:rPr>
      </w:pPr>
    </w:p>
    <w:p w:rsidR="008A6B0D" w:rsidRDefault="008A6B0D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</w:rPr>
      </w:pPr>
    </w:p>
    <w:p w:rsidR="008A6B0D" w:rsidRDefault="008A6B0D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</w:rPr>
      </w:pPr>
    </w:p>
    <w:sectPr w:rsidR="008A6B0D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37BD4"/>
    <w:rsid w:val="00071465"/>
    <w:rsid w:val="0008189C"/>
    <w:rsid w:val="00082647"/>
    <w:rsid w:val="000835A2"/>
    <w:rsid w:val="00092F40"/>
    <w:rsid w:val="000A2C1F"/>
    <w:rsid w:val="000F519A"/>
    <w:rsid w:val="00101D2B"/>
    <w:rsid w:val="00132448"/>
    <w:rsid w:val="00145213"/>
    <w:rsid w:val="001676FA"/>
    <w:rsid w:val="001A7398"/>
    <w:rsid w:val="001E0BE9"/>
    <w:rsid w:val="001E4685"/>
    <w:rsid w:val="002136A6"/>
    <w:rsid w:val="00232913"/>
    <w:rsid w:val="00242A7A"/>
    <w:rsid w:val="003403F0"/>
    <w:rsid w:val="0035585C"/>
    <w:rsid w:val="00366F05"/>
    <w:rsid w:val="003C09AF"/>
    <w:rsid w:val="003E3B1D"/>
    <w:rsid w:val="004129A4"/>
    <w:rsid w:val="00454128"/>
    <w:rsid w:val="0045570C"/>
    <w:rsid w:val="004574E3"/>
    <w:rsid w:val="0049372B"/>
    <w:rsid w:val="004D76A7"/>
    <w:rsid w:val="00503542"/>
    <w:rsid w:val="00545B29"/>
    <w:rsid w:val="005A5AEF"/>
    <w:rsid w:val="00603E19"/>
    <w:rsid w:val="00606070"/>
    <w:rsid w:val="00606C79"/>
    <w:rsid w:val="006A01C4"/>
    <w:rsid w:val="006D6113"/>
    <w:rsid w:val="006E14E4"/>
    <w:rsid w:val="007428E4"/>
    <w:rsid w:val="007507B4"/>
    <w:rsid w:val="00760E5F"/>
    <w:rsid w:val="007B49C7"/>
    <w:rsid w:val="00831975"/>
    <w:rsid w:val="008600B7"/>
    <w:rsid w:val="008A328C"/>
    <w:rsid w:val="008A6B0D"/>
    <w:rsid w:val="008D6085"/>
    <w:rsid w:val="009023FB"/>
    <w:rsid w:val="00937448"/>
    <w:rsid w:val="0094511A"/>
    <w:rsid w:val="00956510"/>
    <w:rsid w:val="00982064"/>
    <w:rsid w:val="00984F35"/>
    <w:rsid w:val="009F7A47"/>
    <w:rsid w:val="00A00C19"/>
    <w:rsid w:val="00A128ED"/>
    <w:rsid w:val="00A3136A"/>
    <w:rsid w:val="00A6606B"/>
    <w:rsid w:val="00AA0D5E"/>
    <w:rsid w:val="00AB12DA"/>
    <w:rsid w:val="00AB5063"/>
    <w:rsid w:val="00AE29CF"/>
    <w:rsid w:val="00AF3872"/>
    <w:rsid w:val="00B3623E"/>
    <w:rsid w:val="00B416BC"/>
    <w:rsid w:val="00B9159D"/>
    <w:rsid w:val="00BB14D0"/>
    <w:rsid w:val="00BD234E"/>
    <w:rsid w:val="00BF3F00"/>
    <w:rsid w:val="00C94ED8"/>
    <w:rsid w:val="00CC34D4"/>
    <w:rsid w:val="00CE2426"/>
    <w:rsid w:val="00D06CB3"/>
    <w:rsid w:val="00D21361"/>
    <w:rsid w:val="00DD01F2"/>
    <w:rsid w:val="00E12EBB"/>
    <w:rsid w:val="00E23722"/>
    <w:rsid w:val="00E27EE2"/>
    <w:rsid w:val="00E73544"/>
    <w:rsid w:val="00EA215D"/>
    <w:rsid w:val="00EB200F"/>
    <w:rsid w:val="00ED088E"/>
    <w:rsid w:val="00EE3654"/>
    <w:rsid w:val="00F019EC"/>
    <w:rsid w:val="00F25CC0"/>
    <w:rsid w:val="00F37F19"/>
    <w:rsid w:val="00F46130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414A-40CE-436E-AF51-C40086D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EL</cp:lastModifiedBy>
  <cp:revision>8</cp:revision>
  <cp:lastPrinted>2021-01-25T13:04:00Z</cp:lastPrinted>
  <dcterms:created xsi:type="dcterms:W3CDTF">2021-01-18T06:56:00Z</dcterms:created>
  <dcterms:modified xsi:type="dcterms:W3CDTF">2021-01-26T13:31:00Z</dcterms:modified>
</cp:coreProperties>
</file>